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3ACDEEEE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1549D738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2B78D2">
        <w:rPr>
          <w:sz w:val="24"/>
          <w:szCs w:val="24"/>
          <w:lang w:val="hr-HR"/>
        </w:rPr>
        <w:t>670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0B62A791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01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33A3FD77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2B78D2">
        <w:rPr>
          <w:sz w:val="24"/>
          <w:szCs w:val="24"/>
          <w:lang w:val="hr-HR"/>
        </w:rPr>
        <w:t xml:space="preserve">Goran Gregurec, Hrvatske državnosti 11 E, 48000 Koprivnica, OIB: 37158837714,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18BD1030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2B78D2">
        <w:rPr>
          <w:sz w:val="24"/>
          <w:szCs w:val="24"/>
          <w:lang w:val="hr-HR"/>
        </w:rPr>
        <w:t>670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Goranu Gregurecu, Hrvatske državnosti 11 E, 48000 Koprivnica, OIB: 37158837714</w:t>
      </w:r>
      <w:r w:rsidR="00D515ED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2B78D2">
        <w:rPr>
          <w:sz w:val="24"/>
          <w:szCs w:val="24"/>
          <w:lang w:val="hr-HR"/>
        </w:rPr>
        <w:t>211, 50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4041EC47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2B78D2">
        <w:rPr>
          <w:sz w:val="24"/>
          <w:szCs w:val="24"/>
          <w:lang w:val="hr-HR"/>
        </w:rPr>
        <w:t>670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 xml:space="preserve">obvezniku </w:t>
      </w:r>
      <w:r w:rsidR="00EB1EF9">
        <w:rPr>
          <w:sz w:val="24"/>
          <w:szCs w:val="24"/>
          <w:lang w:val="hr-HR"/>
        </w:rPr>
        <w:t>Goranu Gregurecu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2B78D2">
        <w:rPr>
          <w:sz w:val="24"/>
          <w:szCs w:val="24"/>
          <w:lang w:val="hr-HR"/>
        </w:rPr>
        <w:t>211,50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3C1236EF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2B78D2">
        <w:rPr>
          <w:sz w:val="24"/>
          <w:szCs w:val="24"/>
          <w:lang w:val="hr-HR"/>
        </w:rPr>
        <w:t>1. rujna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2B78D2">
        <w:rPr>
          <w:sz w:val="24"/>
          <w:szCs w:val="24"/>
          <w:lang w:val="hr-HR"/>
        </w:rPr>
        <w:t>odselio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2B78D2">
        <w:rPr>
          <w:sz w:val="24"/>
          <w:szCs w:val="24"/>
          <w:lang w:val="hr-HR"/>
        </w:rPr>
        <w:t>24</w:t>
      </w:r>
      <w:r w:rsidR="00071A24">
        <w:rPr>
          <w:sz w:val="24"/>
          <w:szCs w:val="24"/>
          <w:lang w:val="hr-HR"/>
        </w:rPr>
        <w:t xml:space="preserve">. </w:t>
      </w:r>
      <w:r w:rsidR="002B78D2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2B78D2">
        <w:rPr>
          <w:sz w:val="24"/>
          <w:szCs w:val="24"/>
          <w:lang w:val="hr-HR"/>
        </w:rPr>
        <w:t>odselio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7D12C7"/>
    <w:rsid w:val="00810CB5"/>
    <w:rsid w:val="00865FD5"/>
    <w:rsid w:val="008860AC"/>
    <w:rsid w:val="008C2904"/>
    <w:rsid w:val="0090408D"/>
    <w:rsid w:val="0094476C"/>
    <w:rsid w:val="009B1D84"/>
    <w:rsid w:val="009B759F"/>
    <w:rsid w:val="009C02CF"/>
    <w:rsid w:val="009C42CE"/>
    <w:rsid w:val="00A63067"/>
    <w:rsid w:val="00A70D5B"/>
    <w:rsid w:val="00A71532"/>
    <w:rsid w:val="00A77528"/>
    <w:rsid w:val="00AE0AC9"/>
    <w:rsid w:val="00B13A9B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E11F5E"/>
    <w:rsid w:val="00E214FE"/>
    <w:rsid w:val="00E248AD"/>
    <w:rsid w:val="00E81331"/>
    <w:rsid w:val="00EB1EF9"/>
    <w:rsid w:val="00EB4FB1"/>
    <w:rsid w:val="00ED208D"/>
    <w:rsid w:val="00EE6AB7"/>
    <w:rsid w:val="00EE73A9"/>
    <w:rsid w:val="00F01368"/>
    <w:rsid w:val="00F04805"/>
    <w:rsid w:val="00F17B6C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6</cp:revision>
  <cp:lastPrinted>2026-04-02T07:05:00Z</cp:lastPrinted>
  <dcterms:created xsi:type="dcterms:W3CDTF">2026-04-02T06:40:00Z</dcterms:created>
  <dcterms:modified xsi:type="dcterms:W3CDTF">2026-04-02T07:08:00Z</dcterms:modified>
</cp:coreProperties>
</file>