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F714" w14:textId="77777777" w:rsidR="00D16924" w:rsidRPr="00D16924" w:rsidRDefault="00D16924" w:rsidP="00D16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U"/>
          <w14:ligatures w14:val="none"/>
        </w:rPr>
      </w:pPr>
      <w:r w:rsidRPr="00D1692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3BAE7E6" wp14:editId="545F30DB">
            <wp:extent cx="552450" cy="695325"/>
            <wp:effectExtent l="0" t="0" r="0" b="0"/>
            <wp:docPr id="1" name="Slika 1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A7768" w14:textId="77777777" w:rsidR="00D16924" w:rsidRPr="00D16924" w:rsidRDefault="00D16924" w:rsidP="00D16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REPUBLIKA HRVATSKA</w:t>
      </w:r>
    </w:p>
    <w:p w14:paraId="6B03B303" w14:textId="77777777" w:rsidR="00D16924" w:rsidRPr="00D16924" w:rsidRDefault="00D16924" w:rsidP="00D16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 ZADARSKA ŽUPANIJA</w:t>
      </w:r>
    </w:p>
    <w:p w14:paraId="07F75907" w14:textId="77777777" w:rsidR="00D16924" w:rsidRPr="00D16924" w:rsidRDefault="00D16924" w:rsidP="00D169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</w:t>
      </w:r>
      <w:r w:rsidRPr="00D1692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2E21447" wp14:editId="1630D604">
            <wp:extent cx="171450" cy="228600"/>
            <wp:effectExtent l="0" t="0" r="0" b="0"/>
            <wp:docPr id="2" name="Slika 2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OPĆINA PRIVLAKA</w:t>
      </w:r>
    </w:p>
    <w:p w14:paraId="371F1A6A" w14:textId="77777777" w:rsidR="00D16924" w:rsidRPr="00D16924" w:rsidRDefault="00D16924" w:rsidP="00D169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Ivana Pavla II, 46.</w:t>
      </w:r>
    </w:p>
    <w:p w14:paraId="3F45292D" w14:textId="77777777" w:rsidR="00D16924" w:rsidRPr="00D16924" w:rsidRDefault="00D16924" w:rsidP="00D169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23233 PRIVLAKA</w:t>
      </w:r>
    </w:p>
    <w:p w14:paraId="5B4986ED" w14:textId="345B884D" w:rsidR="00D16924" w:rsidRPr="00D16924" w:rsidRDefault="00D16924" w:rsidP="00D16924">
      <w:pPr>
        <w:keepNext/>
        <w:spacing w:after="0" w:line="240" w:lineRule="auto"/>
        <w:outlineLvl w:val="8"/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</w:pPr>
      <w:r w:rsidRPr="00D16924"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 xml:space="preserve">KLASA: </w:t>
      </w:r>
      <w:r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410-01/25-01/7</w:t>
      </w:r>
    </w:p>
    <w:p w14:paraId="2ECA1B4C" w14:textId="77D51FF7" w:rsidR="00D16924" w:rsidRPr="00D16924" w:rsidRDefault="00D16924" w:rsidP="00D16924">
      <w:pPr>
        <w:keepNext/>
        <w:spacing w:after="0" w:line="240" w:lineRule="auto"/>
        <w:jc w:val="both"/>
        <w:outlineLvl w:val="8"/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</w:pPr>
      <w:r w:rsidRPr="00D16924"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URBROJ: 2198-28-02-25-</w:t>
      </w:r>
      <w:r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1</w:t>
      </w:r>
    </w:p>
    <w:p w14:paraId="70E34622" w14:textId="5B5E7995" w:rsidR="00D16924" w:rsidRDefault="00D16924" w:rsidP="00D16924">
      <w:pPr>
        <w:rPr>
          <w:rFonts w:ascii="Times New Roman" w:hAnsi="Times New Roman" w:cs="Times New Roman"/>
          <w:sz w:val="24"/>
          <w:szCs w:val="24"/>
        </w:rPr>
      </w:pP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Privlaka,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2. listopada</w:t>
      </w: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2025. godine</w:t>
      </w:r>
    </w:p>
    <w:p w14:paraId="7CF2BD68" w14:textId="3904314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42.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porezima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novine", br. 115/16, 101/17, 114/22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2E4E">
        <w:rPr>
          <w:rFonts w:ascii="Times New Roman" w:hAnsi="Times New Roman" w:cs="Times New Roman"/>
          <w:sz w:val="24"/>
          <w:szCs w:val="24"/>
        </w:rPr>
        <w:t>114/23</w:t>
      </w:r>
      <w:r>
        <w:rPr>
          <w:rFonts w:ascii="Times New Roman" w:hAnsi="Times New Roman" w:cs="Times New Roman"/>
          <w:sz w:val="24"/>
          <w:szCs w:val="24"/>
        </w:rPr>
        <w:t>, 152/24</w:t>
      </w:r>
      <w:r w:rsidRPr="00D02E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Općine Privlaka („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Zadarske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E4E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05/18,07/21,11/22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Općine Privlaka”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04/23),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Općine Privlaka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XX.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dana XX.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studenog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donijelo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4D50FF48" w14:textId="5D5D8871" w:rsidR="00D02E4E" w:rsidRPr="00D02E4E" w:rsidRDefault="00D02E4E" w:rsidP="00D02E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b/>
          <w:bCs/>
          <w:sz w:val="24"/>
          <w:szCs w:val="24"/>
        </w:rPr>
        <w:t>Odluku</w:t>
      </w:r>
      <w:proofErr w:type="spellEnd"/>
      <w:r w:rsidRPr="00D02E4E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D02E4E">
        <w:rPr>
          <w:rFonts w:ascii="Times New Roman" w:hAnsi="Times New Roman" w:cs="Times New Roman"/>
          <w:b/>
          <w:bCs/>
          <w:sz w:val="24"/>
          <w:szCs w:val="24"/>
        </w:rPr>
        <w:t>porezima</w:t>
      </w:r>
      <w:proofErr w:type="spellEnd"/>
      <w:r w:rsidRPr="00D02E4E">
        <w:rPr>
          <w:rFonts w:ascii="Times New Roman" w:hAnsi="Times New Roman" w:cs="Times New Roman"/>
          <w:b/>
          <w:bCs/>
          <w:sz w:val="24"/>
          <w:szCs w:val="24"/>
        </w:rPr>
        <w:t xml:space="preserve"> Općine Privlaka</w:t>
      </w:r>
    </w:p>
    <w:p w14:paraId="375E4EF1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>I. OPĆE ODREDBE</w:t>
      </w:r>
    </w:p>
    <w:p w14:paraId="38073F9B" w14:textId="77777777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091FDECD" w14:textId="77777777" w:rsidR="00D02E4E" w:rsidRPr="00D02E4E" w:rsidRDefault="00D02E4E" w:rsidP="00B74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utvrđuju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stopa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visina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tijelo</w:t>
      </w:r>
      <w:proofErr w:type="spellEnd"/>
    </w:p>
    <w:p w14:paraId="26B30882" w14:textId="77777777" w:rsidR="00D02E4E" w:rsidRDefault="00D02E4E" w:rsidP="00B748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nadležno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naplatu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pripadaju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Privlaka.</w:t>
      </w:r>
    </w:p>
    <w:p w14:paraId="7C91DB58" w14:textId="77777777" w:rsidR="00B748E9" w:rsidRPr="00D02E4E" w:rsidRDefault="00B748E9" w:rsidP="00B748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A393F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>II. VRSTE POREZA</w:t>
      </w:r>
    </w:p>
    <w:p w14:paraId="4952ED71" w14:textId="77777777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D6BF3CD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Općina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uvodi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joj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pripadaju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lokalni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:</w:t>
      </w:r>
    </w:p>
    <w:p w14:paraId="0174BA98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potrošnju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,</w:t>
      </w:r>
    </w:p>
    <w:p w14:paraId="762718C1" w14:textId="04CF9E5F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3BF392A5" w14:textId="6389234E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0A4D87AE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potrošnju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po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stopi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od 3%.</w:t>
      </w:r>
    </w:p>
    <w:p w14:paraId="47561129" w14:textId="1D4A4700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1208FD95" w14:textId="00B2D999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domaće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vlasnici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4E">
        <w:rPr>
          <w:rFonts w:ascii="Times New Roman" w:hAnsi="Times New Roman" w:cs="Times New Roman"/>
          <w:sz w:val="24"/>
          <w:szCs w:val="24"/>
        </w:rPr>
        <w:t xml:space="preserve">dan 31.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382CA294" w14:textId="3F3FE6D9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Iznimno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vlasnik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gospodarstvo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07369C51" w14:textId="1FC4EDEE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(3)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novoizgrađene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nastaje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izvršnosti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uporabne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dozvole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početka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4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uporabne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dozvole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11C2E00B" w14:textId="09D376C1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dohodak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iznajmljivanja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kuća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stanova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soba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postelja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robinzonski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smještaj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putnicima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turistima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organiziranja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kampova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dohodak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osnove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nekomercijalnog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smještaja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utjecaja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statusa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02A2407C" w14:textId="74336772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3619FF9D" w14:textId="61164F3E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67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25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67D">
        <w:rPr>
          <w:rFonts w:ascii="Times New Roman" w:hAnsi="Times New Roman" w:cs="Times New Roman"/>
          <w:sz w:val="24"/>
          <w:szCs w:val="24"/>
        </w:rPr>
        <w:t>cijelom</w:t>
      </w:r>
      <w:proofErr w:type="spellEnd"/>
      <w:r w:rsidR="00025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67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02567D">
        <w:rPr>
          <w:rFonts w:ascii="Times New Roman" w:hAnsi="Times New Roman" w:cs="Times New Roman"/>
          <w:sz w:val="24"/>
          <w:szCs w:val="24"/>
        </w:rPr>
        <w:t xml:space="preserve"> Općine Privlaka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8</w:t>
      </w:r>
      <w:r w:rsidRPr="00D02E4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/m²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korisne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propisom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mjerila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izračun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zaštićene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najamnine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67EC1D75" w14:textId="77777777" w:rsid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</w:p>
    <w:p w14:paraId="78397B78" w14:textId="1341FAEA" w:rsid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4688C5A1" w14:textId="06474BF4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:</w:t>
      </w:r>
    </w:p>
    <w:p w14:paraId="08129299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služe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stalno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stanovanje</w:t>
      </w:r>
      <w:proofErr w:type="spellEnd"/>
    </w:p>
    <w:p w14:paraId="4B8EBAA4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iznajmljuju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najmu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stalno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stanovanje</w:t>
      </w:r>
      <w:proofErr w:type="spellEnd"/>
    </w:p>
    <w:p w14:paraId="3D9B1539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namijenjene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institucionalnom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smještaju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osoba</w:t>
      </w:r>
      <w:proofErr w:type="spellEnd"/>
    </w:p>
    <w:p w14:paraId="6AAFFBB2" w14:textId="71226552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poslovnim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knjigama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trgovačkih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društava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namijenjene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4E">
        <w:rPr>
          <w:rFonts w:ascii="Times New Roman" w:hAnsi="Times New Roman" w:cs="Times New Roman"/>
          <w:sz w:val="24"/>
          <w:szCs w:val="24"/>
        </w:rPr>
        <w:t xml:space="preserve">od dana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unosa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do 31.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proteklo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šest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mjeseci</w:t>
      </w:r>
      <w:proofErr w:type="spellEnd"/>
    </w:p>
    <w:p w14:paraId="4D1E48F3" w14:textId="45F0696F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preuzete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zamjenu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nenaplaćena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je od dana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preuzimanja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do 31.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proteklo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mjeseci</w:t>
      </w:r>
      <w:proofErr w:type="spellEnd"/>
    </w:p>
    <w:p w14:paraId="6AE998FC" w14:textId="13E8B4E4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proglašenja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određenom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podobne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stambeni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prostor</w:t>
      </w:r>
      <w:proofErr w:type="spellEnd"/>
    </w:p>
    <w:p w14:paraId="5027B4CB" w14:textId="29846954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7.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onemogućena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stambena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namjena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</w:p>
    <w:p w14:paraId="74C467A6" w14:textId="40D9B3DA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8.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nalaze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teritoriju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samouprave</w:t>
      </w:r>
      <w:proofErr w:type="spellEnd"/>
    </w:p>
    <w:p w14:paraId="1B8B4CC5" w14:textId="6E4FFC98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domaćinu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određenom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propisu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služe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stanovanje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6C60D59E" w14:textId="7109CFD0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(2) Od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osloboditi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vlasnik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koji prima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sustavu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pred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Hrvatskim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zavodom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rad.</w:t>
      </w:r>
    </w:p>
    <w:p w14:paraId="146C17D6" w14:textId="59B8B4C1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(3) Radi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dokazivanja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služi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stalno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stanovanje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stavkom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E4E">
        <w:rPr>
          <w:rFonts w:ascii="Times New Roman" w:hAnsi="Times New Roman" w:cs="Times New Roman"/>
          <w:sz w:val="24"/>
          <w:szCs w:val="24"/>
        </w:rPr>
        <w:t>1.točkom</w:t>
      </w:r>
      <w:proofErr w:type="gramEnd"/>
      <w:r w:rsidRPr="00D02E4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poreznog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dokazati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činjenicu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stalnog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dokazanom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02E4E">
        <w:rPr>
          <w:rFonts w:ascii="Times New Roman" w:hAnsi="Times New Roman" w:cs="Times New Roman"/>
          <w:sz w:val="24"/>
          <w:szCs w:val="24"/>
        </w:rPr>
        <w:t>rebivališta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724EB571" w14:textId="6E27C0E8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(5)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točke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da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iznajmljuje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najmu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stalno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stanovanje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određenom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iznajmljena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deset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74739691" w14:textId="72F54C73" w:rsid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(6)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točke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stambena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namjena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postojanja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uređaja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zamjenjuju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priključak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0048B9A8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</w:p>
    <w:p w14:paraId="7F2ECDC2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>III. NADLEŽNOST</w:t>
      </w:r>
    </w:p>
    <w:p w14:paraId="4198834A" w14:textId="2BE9ECDC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699FE64C" w14:textId="243E60E4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svezi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utvrđivanjem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naplatom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potrošnju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financija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23F46E30" w14:textId="127681CE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svezi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utvrđivanjem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naplatom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odjel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Općine Privlaka.</w:t>
      </w:r>
    </w:p>
    <w:p w14:paraId="1095392F" w14:textId="0548F6BB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16509EF1" w14:textId="496CEE0D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Na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uređena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primjenjuje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se Zakon o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porezima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Opći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2DEE3DD9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>IV. PRIJELAZNE I ZAVRŠNE ODREDBE</w:t>
      </w:r>
    </w:p>
    <w:p w14:paraId="27C76D73" w14:textId="06C7B421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28BE906C" w14:textId="77777777" w:rsidR="00D02E4E" w:rsidRPr="00D02E4E" w:rsidRDefault="00D02E4E" w:rsidP="00B74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stupanja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prestaje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važiti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porezima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Općine Privlaka</w:t>
      </w:r>
    </w:p>
    <w:p w14:paraId="31B74931" w14:textId="0D8A3292" w:rsidR="00D02E4E" w:rsidRDefault="00D02E4E" w:rsidP="00B748E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0209995"/>
      <w:r w:rsidRPr="00D02E4E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gramStart"/>
      <w:r>
        <w:rPr>
          <w:rFonts w:ascii="Times New Roman" w:hAnsi="Times New Roman" w:cs="Times New Roman"/>
          <w:sz w:val="24"/>
          <w:szCs w:val="24"/>
        </w:rPr>
        <w:t>Privlaka</w:t>
      </w:r>
      <w:r w:rsidRPr="00D02E4E">
        <w:rPr>
          <w:rFonts w:ascii="Times New Roman" w:hAnsi="Times New Roman" w:cs="Times New Roman"/>
          <w:sz w:val="24"/>
          <w:szCs w:val="24"/>
        </w:rPr>
        <w:t>“</w:t>
      </w:r>
      <w:r w:rsid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br</w:t>
      </w:r>
      <w:r w:rsidR="00B748E9">
        <w:rPr>
          <w:rFonts w:ascii="Times New Roman" w:hAnsi="Times New Roman" w:cs="Times New Roman"/>
          <w:sz w:val="24"/>
          <w:szCs w:val="24"/>
        </w:rPr>
        <w:t>oj</w:t>
      </w:r>
      <w:proofErr w:type="spellEnd"/>
      <w:proofErr w:type="gram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6/23, 13/24, 2/25</w:t>
      </w:r>
      <w:r w:rsidRPr="00D02E4E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539EC045" w14:textId="35924538" w:rsidR="00B748E9" w:rsidRPr="00D02E4E" w:rsidRDefault="00B748E9" w:rsidP="00D02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svezi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utvrđivanjem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naplatom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započeti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porezima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Privlaka</w:t>
      </w:r>
      <w:r w:rsidRPr="00B748E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gramStart"/>
      <w:r w:rsidRPr="00B748E9">
        <w:rPr>
          <w:rFonts w:ascii="Times New Roman" w:hAnsi="Times New Roman" w:cs="Times New Roman"/>
          <w:sz w:val="24"/>
          <w:szCs w:val="24"/>
        </w:rPr>
        <w:t>Privlaka“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oj</w:t>
      </w:r>
      <w:proofErr w:type="spellEnd"/>
      <w:proofErr w:type="gramEnd"/>
      <w:r w:rsidRPr="00B748E9">
        <w:rPr>
          <w:rFonts w:ascii="Times New Roman" w:hAnsi="Times New Roman" w:cs="Times New Roman"/>
          <w:sz w:val="24"/>
          <w:szCs w:val="24"/>
        </w:rPr>
        <w:t xml:space="preserve"> 6/23, 13/24, 2/25)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dovršit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se po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B748E9">
        <w:rPr>
          <w:rFonts w:ascii="Times New Roman" w:hAnsi="Times New Roman" w:cs="Times New Roman"/>
          <w:sz w:val="24"/>
          <w:szCs w:val="24"/>
        </w:rPr>
        <w:t>.</w:t>
      </w:r>
    </w:p>
    <w:p w14:paraId="5F7F9AFD" w14:textId="07E80D93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1FCF65FD" w14:textId="3FB73A3B" w:rsid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 xml:space="preserve">(1) Ova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AEC">
        <w:rPr>
          <w:rFonts w:ascii="Times New Roman" w:hAnsi="Times New Roman" w:cs="Times New Roman"/>
          <w:sz w:val="24"/>
          <w:szCs w:val="24"/>
        </w:rPr>
        <w:t>objaviti</w:t>
      </w:r>
      <w:proofErr w:type="spellEnd"/>
      <w:r w:rsidR="00DA1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AEC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DA1AEC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Općine Privlaka, a </w:t>
      </w:r>
      <w:r w:rsidR="00DA1AEC">
        <w:rPr>
          <w:rFonts w:ascii="Times New Roman" w:hAnsi="Times New Roman" w:cs="Times New Roman"/>
          <w:sz w:val="24"/>
          <w:szCs w:val="24"/>
        </w:rPr>
        <w:t xml:space="preserve">stupa </w:t>
      </w:r>
      <w:proofErr w:type="spellStart"/>
      <w:r w:rsidR="00DA1AE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A1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AEC"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4E">
        <w:rPr>
          <w:rFonts w:ascii="Times New Roman" w:hAnsi="Times New Roman" w:cs="Times New Roman"/>
          <w:sz w:val="24"/>
          <w:szCs w:val="24"/>
        </w:rPr>
        <w:t xml:space="preserve">01.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02E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E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02E4E">
        <w:rPr>
          <w:rFonts w:ascii="Times New Roman" w:hAnsi="Times New Roman" w:cs="Times New Roman"/>
          <w:sz w:val="24"/>
          <w:szCs w:val="24"/>
        </w:rPr>
        <w:t>.</w:t>
      </w:r>
    </w:p>
    <w:p w14:paraId="71ECC40D" w14:textId="77777777" w:rsidR="00D02E4E" w:rsidRPr="00D02E4E" w:rsidRDefault="00D02E4E" w:rsidP="00D02E4E">
      <w:pPr>
        <w:rPr>
          <w:rFonts w:ascii="Times New Roman" w:hAnsi="Times New Roman" w:cs="Times New Roman"/>
          <w:sz w:val="24"/>
          <w:szCs w:val="24"/>
        </w:rPr>
      </w:pPr>
    </w:p>
    <w:p w14:paraId="728851FB" w14:textId="77777777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>OPĆINSKO VIJEĆE</w:t>
      </w:r>
    </w:p>
    <w:p w14:paraId="72BDF76D" w14:textId="77777777" w:rsidR="00D02E4E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2E4E">
        <w:rPr>
          <w:rFonts w:ascii="Times New Roman" w:hAnsi="Times New Roman" w:cs="Times New Roman"/>
          <w:sz w:val="24"/>
          <w:szCs w:val="24"/>
        </w:rPr>
        <w:t>Predsjednik</w:t>
      </w:r>
      <w:proofErr w:type="spellEnd"/>
    </w:p>
    <w:p w14:paraId="142E803D" w14:textId="7CCA0A81" w:rsidR="00426AE1" w:rsidRPr="00D02E4E" w:rsidRDefault="00D02E4E" w:rsidP="00D02E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E4E">
        <w:rPr>
          <w:rFonts w:ascii="Times New Roman" w:hAnsi="Times New Roman" w:cs="Times New Roman"/>
          <w:sz w:val="24"/>
          <w:szCs w:val="24"/>
        </w:rPr>
        <w:t>Nikica Begonja</w:t>
      </w:r>
    </w:p>
    <w:sectPr w:rsidR="00426AE1" w:rsidRPr="00D02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4E"/>
    <w:rsid w:val="0002567D"/>
    <w:rsid w:val="000A0C94"/>
    <w:rsid w:val="00426AE1"/>
    <w:rsid w:val="00536472"/>
    <w:rsid w:val="005E39B3"/>
    <w:rsid w:val="00694330"/>
    <w:rsid w:val="006D6467"/>
    <w:rsid w:val="00AD587C"/>
    <w:rsid w:val="00B748E9"/>
    <w:rsid w:val="00D02E4E"/>
    <w:rsid w:val="00D065F4"/>
    <w:rsid w:val="00D16924"/>
    <w:rsid w:val="00DA1AEC"/>
    <w:rsid w:val="00DA25AB"/>
    <w:rsid w:val="00FC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15F3"/>
  <w15:chartTrackingRefBased/>
  <w15:docId w15:val="{30BA11F0-0BE1-4C41-8A6C-D5D6A01D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E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E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E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E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E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E4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E4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E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E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E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E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User009</cp:lastModifiedBy>
  <cp:revision>9</cp:revision>
  <dcterms:created xsi:type="dcterms:W3CDTF">2025-10-01T06:59:00Z</dcterms:created>
  <dcterms:modified xsi:type="dcterms:W3CDTF">2025-10-03T08:46:00Z</dcterms:modified>
</cp:coreProperties>
</file>