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BCD53" w14:textId="77777777" w:rsidR="00504203" w:rsidRPr="00504203" w:rsidRDefault="00504203" w:rsidP="00504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04203">
        <w:rPr>
          <w:rFonts w:ascii="Times New Roman" w:eastAsia="Calibri" w:hAnsi="Times New Roman" w:cs="Times New Roman"/>
          <w:b/>
          <w:sz w:val="24"/>
          <w:szCs w:val="24"/>
          <w:lang w:val="hr-HR"/>
        </w:rPr>
        <w:t>OBRAZLOŽENJE</w:t>
      </w:r>
    </w:p>
    <w:p w14:paraId="4CD0B8BA" w14:textId="77777777" w:rsidR="00504203" w:rsidRPr="00504203" w:rsidRDefault="00504203" w:rsidP="00504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04203">
        <w:rPr>
          <w:rFonts w:ascii="Times New Roman" w:eastAsia="Calibri" w:hAnsi="Times New Roman" w:cs="Times New Roman"/>
          <w:b/>
          <w:sz w:val="24"/>
          <w:szCs w:val="24"/>
          <w:lang w:val="hr-HR"/>
        </w:rPr>
        <w:t>POLUGODIŠNJEG IZVJEŠTAJA O IZVRŠENJU PRORAČUNA</w:t>
      </w:r>
    </w:p>
    <w:p w14:paraId="7E4B8DA9" w14:textId="4FF0846A" w:rsidR="00504203" w:rsidRPr="00504203" w:rsidRDefault="00504203" w:rsidP="00504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04203">
        <w:rPr>
          <w:rFonts w:ascii="Times New Roman" w:eastAsia="Calibri" w:hAnsi="Times New Roman" w:cs="Times New Roman"/>
          <w:b/>
          <w:sz w:val="24"/>
          <w:szCs w:val="24"/>
          <w:lang w:val="hr-HR"/>
        </w:rPr>
        <w:t>OPĆINE PRIVLAKA ZA 202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3</w:t>
      </w:r>
      <w:r w:rsidRPr="00504203">
        <w:rPr>
          <w:rFonts w:ascii="Times New Roman" w:eastAsia="Calibri" w:hAnsi="Times New Roman" w:cs="Times New Roman"/>
          <w:b/>
          <w:sz w:val="24"/>
          <w:szCs w:val="24"/>
          <w:lang w:val="hr-HR"/>
        </w:rPr>
        <w:t>. GODINU</w:t>
      </w:r>
    </w:p>
    <w:p w14:paraId="77A5D596" w14:textId="6EF76172" w:rsidR="00504203" w:rsidRPr="00504203" w:rsidRDefault="00504203" w:rsidP="005042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D5343" w14:textId="5848B071" w:rsidR="00A22A58" w:rsidRPr="008610F1" w:rsidRDefault="00A22A58" w:rsidP="008610F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03C">
        <w:rPr>
          <w:rFonts w:ascii="Times New Roman" w:hAnsi="Times New Roman" w:cs="Times New Roman"/>
          <w:b/>
          <w:sz w:val="24"/>
          <w:szCs w:val="24"/>
        </w:rPr>
        <w:t>UVO</w:t>
      </w:r>
      <w:r w:rsidRPr="008610F1">
        <w:rPr>
          <w:rFonts w:ascii="Times New Roman" w:hAnsi="Times New Roman" w:cs="Times New Roman"/>
          <w:b/>
          <w:sz w:val="24"/>
          <w:szCs w:val="24"/>
        </w:rPr>
        <w:t>D</w:t>
      </w:r>
    </w:p>
    <w:p w14:paraId="0C700E67" w14:textId="6802BB44" w:rsidR="00A22A58" w:rsidRPr="008610F1" w:rsidRDefault="008D52C5" w:rsidP="008610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Zakonom o proračunu („Narodne </w:t>
      </w:r>
      <w:proofErr w:type="gramStart"/>
      <w:r w:rsidR="00A22A58" w:rsidRPr="008610F1">
        <w:rPr>
          <w:rFonts w:ascii="Times New Roman" w:hAnsi="Times New Roman" w:cs="Times New Roman"/>
          <w:sz w:val="24"/>
          <w:szCs w:val="24"/>
        </w:rPr>
        <w:t>novine“ broj</w:t>
      </w:r>
      <w:proofErr w:type="gramEnd"/>
      <w:r w:rsidR="00A22A58" w:rsidRPr="008610F1">
        <w:rPr>
          <w:rFonts w:ascii="Times New Roman" w:hAnsi="Times New Roman" w:cs="Times New Roman"/>
          <w:sz w:val="24"/>
          <w:szCs w:val="24"/>
        </w:rPr>
        <w:t xml:space="preserve"> 144/21) propisana je obveza izrade</w:t>
      </w:r>
      <w:r w:rsidR="00DA3CD2" w:rsidRPr="008610F1">
        <w:rPr>
          <w:rFonts w:ascii="Times New Roman" w:hAnsi="Times New Roman" w:cs="Times New Roman"/>
          <w:sz w:val="24"/>
          <w:szCs w:val="24"/>
        </w:rPr>
        <w:t xml:space="preserve"> </w:t>
      </w:r>
      <w:r w:rsidR="00A22A58" w:rsidRPr="008610F1">
        <w:rPr>
          <w:rFonts w:ascii="Times New Roman" w:hAnsi="Times New Roman" w:cs="Times New Roman"/>
          <w:sz w:val="24"/>
          <w:szCs w:val="24"/>
        </w:rPr>
        <w:t>polugodišnjeg izvještaja o izvršenju proračuna te njegova podnošenja predstavničkom tijelu JLP(R)S. Župan,Gradonačelnik Načelnik ga podnosi Županijskoj skupštini, Gradskom/općinskom vijeću  do 30. rujna tekuće godine. Isto tako Zakonom o proračunu propisan izgled i sadržaj polugodišnjeg izvještaja o izvršenju proračuna, ali i Pravilnikom o polugodišnjem i godišnjem izvještaju o izvršenju proračuna i financijskog plana (“Narodne novine” broj 85/23) je propisano da polugodišnji izvještaj o izvršenju proračuna sadrži opći i posebni dio, obrazloženje općeg dijela pro</w:t>
      </w:r>
      <w:r>
        <w:rPr>
          <w:rFonts w:ascii="Times New Roman" w:hAnsi="Times New Roman" w:cs="Times New Roman"/>
          <w:sz w:val="24"/>
          <w:szCs w:val="24"/>
        </w:rPr>
        <w:t xml:space="preserve">računa i posebne izvještaje. U </w:t>
      </w:r>
      <w:r w:rsidR="00A22A58" w:rsidRPr="008610F1">
        <w:rPr>
          <w:rFonts w:ascii="Times New Roman" w:hAnsi="Times New Roman" w:cs="Times New Roman"/>
          <w:sz w:val="24"/>
          <w:szCs w:val="24"/>
        </w:rPr>
        <w:t xml:space="preserve">odnosu na prijašnji Zakon i Pravilnik o polugodišnjem izvještaju više se ne </w:t>
      </w:r>
      <w:proofErr w:type="gramStart"/>
      <w:r w:rsidR="00A22A58" w:rsidRPr="008610F1">
        <w:rPr>
          <w:rFonts w:ascii="Times New Roman" w:hAnsi="Times New Roman" w:cs="Times New Roman"/>
          <w:sz w:val="24"/>
          <w:szCs w:val="24"/>
        </w:rPr>
        <w:t>obrazlažu  pojedinačna</w:t>
      </w:r>
      <w:proofErr w:type="gramEnd"/>
      <w:r w:rsidR="00A22A58" w:rsidRPr="008610F1">
        <w:rPr>
          <w:rFonts w:ascii="Times New Roman" w:hAnsi="Times New Roman" w:cs="Times New Roman"/>
          <w:sz w:val="24"/>
          <w:szCs w:val="24"/>
        </w:rPr>
        <w:t xml:space="preserve"> obrazloženja izvršenja financijskih planova upravnih odjela/razdjela  po programima, aktivnostima i projektima, već će se isto propisuje kao obveza samo uz  godišnji izvještaj o izvršenju proračuna/ financijskog plana.</w:t>
      </w:r>
    </w:p>
    <w:p w14:paraId="41E54FD2" w14:textId="0ADC5400" w:rsidR="00F74138" w:rsidRPr="008610F1" w:rsidRDefault="00F74138" w:rsidP="008610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 xml:space="preserve"> Stoga uz naveden</w:t>
      </w:r>
      <w:r w:rsidR="00DA3CD2" w:rsidRPr="008610F1">
        <w:rPr>
          <w:rFonts w:ascii="Times New Roman" w:hAnsi="Times New Roman" w:cs="Times New Roman"/>
          <w:sz w:val="24"/>
          <w:szCs w:val="24"/>
        </w:rPr>
        <w:t xml:space="preserve">o, </w:t>
      </w:r>
      <w:r w:rsidRPr="008610F1">
        <w:rPr>
          <w:rFonts w:ascii="Times New Roman" w:hAnsi="Times New Roman" w:cs="Times New Roman"/>
          <w:sz w:val="24"/>
          <w:szCs w:val="24"/>
        </w:rPr>
        <w:t>obvezni dijelovi polugodišnjeg izvještaja o izvršenju proračuna su: opći i posebni dio, obrazloženje i posebni izvještaji, a sastavljaju na sljedeći način:</w:t>
      </w:r>
    </w:p>
    <w:p w14:paraId="1534134B" w14:textId="77777777" w:rsidR="00F74138" w:rsidRPr="008610F1" w:rsidRDefault="00F74138" w:rsidP="008610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>- Opći dio sadrži Sažetak Računa prihoda i rashoda i Računa financiranja, Račun prihoda i rashoda i Račun financiranja.</w:t>
      </w:r>
    </w:p>
    <w:p w14:paraId="09D4DC39" w14:textId="77777777" w:rsidR="00F74138" w:rsidRPr="008610F1" w:rsidRDefault="00F74138" w:rsidP="008610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>Sažetak Računa prihoda i rashoda i Računa financiranja sadrži prikaz ukupno ostvarenih prihoda i primitaka te izvršenih rashoda i izdataka. Sažetak može sadržavati podatke o prenesenom višku/manjku iz prethodne godine i višku/manjku za prijenos u sljedeću godinu/razdoblje.</w:t>
      </w:r>
    </w:p>
    <w:p w14:paraId="19BD5392" w14:textId="12A5CA5C" w:rsidR="00F74138" w:rsidRPr="008610F1" w:rsidRDefault="00F74138" w:rsidP="008D52C5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>-Račun prihoda i rashoda sadrži prikaz prihoda i rashoda i iskazuje se prema proračunskim</w:t>
      </w:r>
      <w:r w:rsidR="008D52C5">
        <w:rPr>
          <w:rFonts w:ascii="Times New Roman" w:hAnsi="Times New Roman" w:cs="Times New Roman"/>
          <w:sz w:val="24"/>
          <w:szCs w:val="24"/>
        </w:rPr>
        <w:t xml:space="preserve"> k</w:t>
      </w:r>
      <w:r w:rsidRPr="008610F1">
        <w:rPr>
          <w:rFonts w:ascii="Times New Roman" w:hAnsi="Times New Roman" w:cs="Times New Roman"/>
          <w:sz w:val="24"/>
          <w:szCs w:val="24"/>
        </w:rPr>
        <w:t>lasifikacijama</w:t>
      </w:r>
      <w:r w:rsidR="008D52C5">
        <w:rPr>
          <w:rFonts w:ascii="Times New Roman" w:hAnsi="Times New Roman" w:cs="Times New Roman"/>
          <w:sz w:val="24"/>
          <w:szCs w:val="24"/>
        </w:rPr>
        <w:t xml:space="preserve">: u izvještaju </w:t>
      </w:r>
      <w:r w:rsidRPr="008610F1">
        <w:rPr>
          <w:rFonts w:ascii="Times New Roman" w:hAnsi="Times New Roman" w:cs="Times New Roman"/>
          <w:sz w:val="24"/>
          <w:szCs w:val="24"/>
        </w:rPr>
        <w:t>o prihodima i rashodima prema ekonomskoj klasifikaciji, izvještaju o prihodima i rashodima prema izvorima financiranja i izvještaju o rashodima prema funkcijskoj klasifikaciji.</w:t>
      </w:r>
    </w:p>
    <w:p w14:paraId="0F3BC662" w14:textId="77777777" w:rsidR="00F74138" w:rsidRPr="008610F1" w:rsidRDefault="00F74138" w:rsidP="008610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>-Račun financiranja sadrži prikaz primitaka od financijske imovine i zaduživanja te izdataka za financijsku imovinu i iskazuje se prema proračunskim klasifikacijama u izvještaju: Računa financiranja prema ekonomskoj klasifikaciji i izvještaj računa financiranja prema izvorima financiranja.</w:t>
      </w:r>
    </w:p>
    <w:p w14:paraId="033655E0" w14:textId="77777777" w:rsidR="00F74138" w:rsidRPr="008610F1" w:rsidRDefault="00F74138" w:rsidP="008610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>-Posebni dio se iskazuje u izvještaju po organizacijskoj klasifikaciji i izvještaju po programskoj klasifikaciji.</w:t>
      </w:r>
    </w:p>
    <w:p w14:paraId="568935A9" w14:textId="77777777" w:rsidR="00F74138" w:rsidRPr="008610F1" w:rsidRDefault="00F74138" w:rsidP="008610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>Izvještaj po organizacijskoj klasifikaciji sadrži prikaz rashoda i izdataka proračuna iskazanih po organizacijskoj klasifikaciji (razdjeli i glave).</w:t>
      </w:r>
    </w:p>
    <w:p w14:paraId="68DC7294" w14:textId="77777777" w:rsidR="00F74138" w:rsidRPr="008610F1" w:rsidRDefault="00F74138" w:rsidP="008610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>Izvještaj po programskoj klasifikaciji sadrži prikaz rashoda i izdataka proračuna iskazanih po organizacijskoj klasifikaciji, izvorima financiranja i ekonomskoj klasifikaciji, raspoređenih u programe koji se sastoje od aktivnosti i projekata.</w:t>
      </w:r>
    </w:p>
    <w:p w14:paraId="6C2494F8" w14:textId="77777777" w:rsidR="00F74138" w:rsidRPr="008610F1" w:rsidRDefault="00F74138" w:rsidP="008610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>- Obrazloženje u polugodišnjem izvještaju o izvršenju proračuna se sastoji od obrazloženja općeg dijela koje sadrži obrazloženje ostvarenja prihoda i rashoda, primitaka i izdataka u izvještajnom razdoblju i prikaz ostvarenog manjka/viška proračuna JLP(R)S u izvještajnom razdoblju.</w:t>
      </w:r>
    </w:p>
    <w:p w14:paraId="5273DBF0" w14:textId="77777777" w:rsidR="00F74138" w:rsidRPr="008610F1" w:rsidRDefault="00F74138" w:rsidP="008610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lastRenderedPageBreak/>
        <w:t xml:space="preserve">Člankom 23. Pravilnika o polugodišnjem i godišnjem izvještaju o izvršenju proračuna i financijskog plana </w:t>
      </w:r>
      <w:proofErr w:type="gramStart"/>
      <w:r w:rsidRPr="008610F1">
        <w:rPr>
          <w:rFonts w:ascii="Times New Roman" w:hAnsi="Times New Roman" w:cs="Times New Roman"/>
          <w:sz w:val="24"/>
          <w:szCs w:val="24"/>
        </w:rPr>
        <w:t>( “</w:t>
      </w:r>
      <w:proofErr w:type="gramEnd"/>
      <w:r w:rsidRPr="008610F1">
        <w:rPr>
          <w:rFonts w:ascii="Times New Roman" w:hAnsi="Times New Roman" w:cs="Times New Roman"/>
          <w:sz w:val="24"/>
          <w:szCs w:val="24"/>
        </w:rPr>
        <w:t xml:space="preserve">NN” br. 85/23) propisana je obveza izrade posebnih izvještaja </w:t>
      </w:r>
      <w:r w:rsidR="009B6422" w:rsidRPr="008610F1">
        <w:rPr>
          <w:rFonts w:ascii="Times New Roman" w:hAnsi="Times New Roman" w:cs="Times New Roman"/>
          <w:sz w:val="24"/>
          <w:szCs w:val="24"/>
        </w:rPr>
        <w:t xml:space="preserve">i </w:t>
      </w:r>
      <w:r w:rsidRPr="008610F1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41C96B1E" w14:textId="77777777" w:rsidR="009B6422" w:rsidRPr="008610F1" w:rsidRDefault="009B6422" w:rsidP="008610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 xml:space="preserve">izvještaj o </w:t>
      </w:r>
      <w:r w:rsidR="00F74138" w:rsidRPr="008610F1">
        <w:rPr>
          <w:rFonts w:ascii="Times New Roman" w:hAnsi="Times New Roman" w:cs="Times New Roman"/>
          <w:sz w:val="24"/>
          <w:szCs w:val="24"/>
        </w:rPr>
        <w:t xml:space="preserve">korištenju proračunske zalihe, </w:t>
      </w:r>
    </w:p>
    <w:p w14:paraId="671F2B13" w14:textId="77777777" w:rsidR="009B6422" w:rsidRPr="008610F1" w:rsidRDefault="00F74138" w:rsidP="008610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>izvještaj o zaduživanju na do</w:t>
      </w:r>
      <w:r w:rsidR="009B6422" w:rsidRPr="008610F1">
        <w:rPr>
          <w:rFonts w:ascii="Times New Roman" w:hAnsi="Times New Roman" w:cs="Times New Roman"/>
          <w:sz w:val="24"/>
          <w:szCs w:val="24"/>
        </w:rPr>
        <w:t xml:space="preserve">maćem i stranom tržištu novca i </w:t>
      </w:r>
      <w:r w:rsidRPr="008610F1">
        <w:rPr>
          <w:rFonts w:ascii="Times New Roman" w:hAnsi="Times New Roman" w:cs="Times New Roman"/>
          <w:sz w:val="24"/>
          <w:szCs w:val="24"/>
        </w:rPr>
        <w:t xml:space="preserve">kapitala i </w:t>
      </w:r>
    </w:p>
    <w:p w14:paraId="31C45530" w14:textId="77777777" w:rsidR="00F74138" w:rsidRPr="008610F1" w:rsidRDefault="00F74138" w:rsidP="008610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>izvještaj o danim jamstvima i plaćanjima po protestiranim jamstvima.</w:t>
      </w:r>
    </w:p>
    <w:p w14:paraId="5404F1BF" w14:textId="77777777" w:rsidR="00DA3CD2" w:rsidRPr="008610F1" w:rsidRDefault="00B63423" w:rsidP="008610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>U polugodišnji izvještaj o izvršenju proračuna Općine Privlake ugrađeni su vlastiti i namjenski prihodi proračunskog korisnika DV Sabunić.</w:t>
      </w:r>
    </w:p>
    <w:p w14:paraId="5CBB0806" w14:textId="77777777" w:rsidR="003F265D" w:rsidRPr="008610F1" w:rsidRDefault="003F265D" w:rsidP="008610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 xml:space="preserve">Ovaj Polugodišnji izvještaj po prvi puta se iskazuje u eurima i </w:t>
      </w:r>
      <w:r w:rsidR="00E91CCB" w:rsidRPr="008610F1">
        <w:rPr>
          <w:rFonts w:ascii="Times New Roman" w:hAnsi="Times New Roman" w:cs="Times New Roman"/>
          <w:sz w:val="24"/>
          <w:szCs w:val="24"/>
        </w:rPr>
        <w:t>kao</w:t>
      </w:r>
      <w:r w:rsidRPr="008610F1">
        <w:rPr>
          <w:rFonts w:ascii="Times New Roman" w:hAnsi="Times New Roman" w:cs="Times New Roman"/>
          <w:sz w:val="24"/>
          <w:szCs w:val="24"/>
        </w:rPr>
        <w:t xml:space="preserve"> prethodna i tekuća godina.</w:t>
      </w:r>
    </w:p>
    <w:p w14:paraId="0E2FADA4" w14:textId="09DAE3D9" w:rsidR="00B63423" w:rsidRPr="008610F1" w:rsidRDefault="00DA3CD2" w:rsidP="008610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 xml:space="preserve">Proračun Općine Privlaka usvojilo je Općinsko vijeće na na 11. (jedanaestoj) sjednici održanoj 11. prosinca 2022. godine te je isti objavljen u Službenom glasniku Zadarske županije, broj 32/22.  Prve izmjene i dopune Proračuna za 2023. </w:t>
      </w:r>
      <w:r w:rsidR="006D2836" w:rsidRPr="008610F1">
        <w:rPr>
          <w:rFonts w:ascii="Times New Roman" w:hAnsi="Times New Roman" w:cs="Times New Roman"/>
          <w:sz w:val="24"/>
          <w:szCs w:val="24"/>
        </w:rPr>
        <w:t>d</w:t>
      </w:r>
      <w:r w:rsidRPr="008610F1">
        <w:rPr>
          <w:rFonts w:ascii="Times New Roman" w:hAnsi="Times New Roman" w:cs="Times New Roman"/>
          <w:sz w:val="24"/>
          <w:szCs w:val="24"/>
        </w:rPr>
        <w:t xml:space="preserve">onijelo je Općinsko vijeće na 13. sjednici održanoj dana 24. svibnja 2023. godine. </w:t>
      </w:r>
      <w:r w:rsidR="006D2836" w:rsidRPr="008610F1">
        <w:rPr>
          <w:rFonts w:ascii="Times New Roman" w:hAnsi="Times New Roman" w:cs="Times New Roman"/>
          <w:sz w:val="24"/>
          <w:szCs w:val="24"/>
        </w:rPr>
        <w:t xml:space="preserve">Visina proračunske potrošnje Prvim izmjenama i dopunama proračuna za 2023.godinu iznosi </w:t>
      </w:r>
      <w:r w:rsidR="00B63423" w:rsidRPr="008610F1">
        <w:rPr>
          <w:rFonts w:ascii="Times New Roman" w:hAnsi="Times New Roman" w:cs="Times New Roman"/>
          <w:sz w:val="24"/>
          <w:szCs w:val="24"/>
        </w:rPr>
        <w:t>5.439.547,26 eura.  Polugodišnji izvještaj o izvršenju proračuna za prvo polugodište 2023. godi</w:t>
      </w:r>
      <w:r w:rsidR="008D52C5">
        <w:rPr>
          <w:rFonts w:ascii="Times New Roman" w:hAnsi="Times New Roman" w:cs="Times New Roman"/>
          <w:sz w:val="24"/>
          <w:szCs w:val="24"/>
        </w:rPr>
        <w:t>nu prikazuje ostvarene prihode</w:t>
      </w:r>
      <w:r w:rsidR="00B63423" w:rsidRPr="008610F1">
        <w:rPr>
          <w:rFonts w:ascii="Times New Roman" w:hAnsi="Times New Roman" w:cs="Times New Roman"/>
          <w:sz w:val="24"/>
          <w:szCs w:val="24"/>
        </w:rPr>
        <w:t xml:space="preserve"> i primitke te rashode i izdatke u odnosu na Prve izmjene I dopune Proračuna za 2023.godinu.</w:t>
      </w:r>
    </w:p>
    <w:p w14:paraId="56252FCA" w14:textId="77777777" w:rsidR="003F265D" w:rsidRPr="008610F1" w:rsidRDefault="003F265D" w:rsidP="008610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BA72F99" w14:textId="77777777" w:rsidR="003F265D" w:rsidRPr="008610F1" w:rsidRDefault="003F265D" w:rsidP="008610F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0F1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07D9EAE9" w14:textId="77777777" w:rsidR="003F265D" w:rsidRPr="008610F1" w:rsidRDefault="003F265D" w:rsidP="008610F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 xml:space="preserve">Ukupni prihodi i primici planirani su u iznosu od </w:t>
      </w:r>
      <w:r w:rsidR="00E91CCB" w:rsidRPr="008610F1">
        <w:rPr>
          <w:rFonts w:ascii="Times New Roman" w:hAnsi="Times New Roman" w:cs="Times New Roman"/>
          <w:sz w:val="24"/>
          <w:szCs w:val="24"/>
        </w:rPr>
        <w:t>4.497.515,22 eura, a realizirani su u iznosu od 1.522.190,76 eura ili 33,85%.  Najzastupljeniji su prihodi poslovanja iskalazani u razredu 6-prihodi poslovanja.</w:t>
      </w:r>
    </w:p>
    <w:p w14:paraId="4E159687" w14:textId="77777777" w:rsidR="00E91CCB" w:rsidRPr="008610F1" w:rsidRDefault="00E91CCB" w:rsidP="008610F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3CA77D" w14:textId="77777777" w:rsidR="00E91CCB" w:rsidRPr="008610F1" w:rsidRDefault="00E91CCB" w:rsidP="008610F1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0F1">
        <w:rPr>
          <w:rFonts w:ascii="Times New Roman" w:hAnsi="Times New Roman" w:cs="Times New Roman"/>
          <w:b/>
          <w:sz w:val="24"/>
          <w:szCs w:val="24"/>
        </w:rPr>
        <w:t xml:space="preserve"> PRIHODI POSLOVANJA</w:t>
      </w:r>
    </w:p>
    <w:p w14:paraId="0AF23636" w14:textId="6C7348F4" w:rsidR="00E91CCB" w:rsidRPr="008610F1" w:rsidRDefault="00E91CCB" w:rsidP="008610F1">
      <w:pPr>
        <w:spacing w:line="240" w:lineRule="auto"/>
        <w:ind w:left="36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 xml:space="preserve">Prihodi poslovanja planirani su u iznosu od </w:t>
      </w:r>
      <w:r w:rsidRPr="008610F1">
        <w:rPr>
          <w:rStyle w:val="fontstyle01"/>
          <w:rFonts w:ascii="Times New Roman" w:hAnsi="Times New Roman" w:cs="Times New Roman"/>
          <w:sz w:val="24"/>
          <w:szCs w:val="24"/>
        </w:rPr>
        <w:t>4.374.849,22 eura, a ostvareni su u iznosu od 1.507.139,96 eura ili 34,45% plana. U odnosu na prethodnu godinu realizirani su za 110.231,38 eura manje. Ovi prihodi obuhvaćaju prihode od poreza, pomoći, prihode od imovine, prihode od upravnih I administrativnih pristojbi, prihode po posebnim propisima te komunali doprinos i naknade. Zatim obuhvaćaju prihode od prodaje proizvoda, robe I usluga</w:t>
      </w:r>
      <w:r w:rsidR="008D52C5">
        <w:rPr>
          <w:rStyle w:val="fontstyle01"/>
          <w:rFonts w:ascii="Times New Roman" w:hAnsi="Times New Roman" w:cs="Times New Roman"/>
          <w:sz w:val="24"/>
          <w:szCs w:val="24"/>
        </w:rPr>
        <w:t xml:space="preserve">, donacije te prihode od kazni, </w:t>
      </w:r>
      <w:r w:rsidRPr="008610F1">
        <w:rPr>
          <w:rStyle w:val="fontstyle01"/>
          <w:rFonts w:ascii="Times New Roman" w:hAnsi="Times New Roman" w:cs="Times New Roman"/>
          <w:sz w:val="24"/>
          <w:szCs w:val="24"/>
        </w:rPr>
        <w:t xml:space="preserve">upravnih mjera i ostalih pristojbi. </w:t>
      </w:r>
    </w:p>
    <w:p w14:paraId="09167A41" w14:textId="77777777" w:rsidR="0037403C" w:rsidRPr="008610F1" w:rsidRDefault="0037403C" w:rsidP="008610F1">
      <w:pPr>
        <w:spacing w:line="240" w:lineRule="auto"/>
        <w:ind w:left="36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610F1">
        <w:rPr>
          <w:rStyle w:val="fontstyle01"/>
          <w:rFonts w:ascii="Times New Roman" w:hAnsi="Times New Roman" w:cs="Times New Roman"/>
          <w:b/>
          <w:sz w:val="24"/>
          <w:szCs w:val="24"/>
        </w:rPr>
        <w:t>Prihodi od poreza</w:t>
      </w:r>
      <w:r w:rsidRPr="008610F1">
        <w:rPr>
          <w:rStyle w:val="fontstyle01"/>
          <w:rFonts w:ascii="Times New Roman" w:hAnsi="Times New Roman" w:cs="Times New Roman"/>
          <w:sz w:val="24"/>
          <w:szCs w:val="24"/>
        </w:rPr>
        <w:t xml:space="preserve"> planirani su u iznosu od 2.298.695,00 eura, a realizirani su u iznosu od 739.641,64 eura ili 32,18%.</w:t>
      </w:r>
      <w:r w:rsidR="00467D34" w:rsidRPr="008610F1">
        <w:rPr>
          <w:rStyle w:val="fontstyle01"/>
          <w:rFonts w:ascii="Times New Roman" w:hAnsi="Times New Roman" w:cs="Times New Roman"/>
          <w:sz w:val="24"/>
          <w:szCs w:val="24"/>
        </w:rPr>
        <w:t xml:space="preserve"> Obuhvaćaju sljedeće poreze:</w:t>
      </w:r>
    </w:p>
    <w:p w14:paraId="3E5CD1C7" w14:textId="3803774A" w:rsidR="00467D34" w:rsidRPr="008610F1" w:rsidRDefault="00467D34" w:rsidP="008610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0F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- </w:t>
      </w: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porez i prirez na </w:t>
      </w:r>
      <w:r w:rsidR="008D52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dohodak </w:t>
      </w:r>
      <w:r w:rsidR="008D5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realiziran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>je u iznosu 258.475,97 eura što čini 88,6% realizacije od prethodne godine. Isti se utvrđuje i plaća temeljem odredaba Zakona o porezu na dohodak a odnosi se izravno na dohodak pojedinca, te se uvećava za prirez koje uvedu jedinice lokalne samouprave prema posebnim zakonima. Pripadnost poreza na dohodak utvrđuje se prema prebivalištu/uobičajenom boravištu poreznog obveznika. U nekim segmentima naplata je bolja u odnosu na isto razdoblje prethodne godine, međutim u 2023. godini imamo veći iznos za povrat poreza i prireza po godišnjoj prijavi poreza i prireza na dohodak.  U odnosu na obrazac P2/1 koju dostavlja FINA ovi prihodi su manji za 56.102,91 eura što čini razliku između namirenja za povrat poreza za 2022.godinu te ostatka duga prema državnoj riznici za povrat poreza i prireza po godišnjoj prijavi za 2021.godinu</w:t>
      </w:r>
      <w:r w:rsidRPr="008610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povrat poreza po godišnjoj prijavi ne ulazi u prihode od poreza na dohodak već se stvara obveza namirenja prema državnoj riznici u razdoblju kolovoz-prosinac 2023.godine.</w:t>
      </w:r>
    </w:p>
    <w:p w14:paraId="09E881AF" w14:textId="77777777" w:rsidR="00467D34" w:rsidRPr="008610F1" w:rsidRDefault="00467D34" w:rsidP="00861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37C3C781" w14:textId="4B1E4073" w:rsidR="00467D34" w:rsidRPr="008610F1" w:rsidRDefault="00467D34" w:rsidP="008610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porezi na imovinu </w:t>
      </w:r>
      <w:r w:rsidR="008D5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su u iznosu od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>480.577,34 eura što 70,5% prošlogodišnje realizacije. Najznačajnije odstupanje odnosi se na prihod od porez</w:t>
      </w:r>
      <w:r w:rsidR="008D52C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promet nekretnina evidenciju i naplatu kojeg vodi Porezi uprava</w:t>
      </w:r>
      <w:r w:rsidR="008D52C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je ostvaren u iznosu od 431.427,88 eura što je 66,45% prošlogodišnje realizacije. Rezultat je to kretanja na tržištu nekretnina gdje Općina Privlaka nema utjecaja na samu naplatu.  Prihod od porez na kuće odmor ostvaren je u znatno većem iznosu i to 49.149,46 eura ili 50,57 % više nego prethodne godine budući da su se naplaćivala potraživanja Općine iz prethodnih godina. Razrez p</w:t>
      </w:r>
      <w:r w:rsidR="008D5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oreza za kuće za odmor za 2023. </w:t>
      </w:r>
      <w:proofErr w:type="gramStart"/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  bio</w:t>
      </w:r>
      <w:proofErr w:type="gramEnd"/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 lipnju 2023. </w:t>
      </w:r>
    </w:p>
    <w:p w14:paraId="6CC96ACA" w14:textId="738EDF6D" w:rsidR="00467D34" w:rsidRPr="008610F1" w:rsidRDefault="008D52C5" w:rsidP="008610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-porez na promet realizirao </w:t>
      </w:r>
      <w:r w:rsidR="00467D34"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u iznosu od 588,33 eura, ili 8,1% više nego </w:t>
      </w:r>
      <w:r w:rsidR="00BB0E69"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prethodne</w:t>
      </w:r>
      <w:r w:rsidR="00467D34"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>, a radi se o porezu na potrošnju.</w:t>
      </w:r>
    </w:p>
    <w:p w14:paraId="0612B9CD" w14:textId="77777777" w:rsidR="00467D34" w:rsidRPr="008610F1" w:rsidRDefault="00467D34" w:rsidP="008610F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6EAF0A" w14:textId="7ACBF01A" w:rsidR="00DB1886" w:rsidRPr="008610F1" w:rsidRDefault="00DB1886" w:rsidP="008610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0F1">
        <w:rPr>
          <w:rFonts w:ascii="Times New Roman" w:hAnsi="Times New Roman" w:cs="Times New Roman"/>
          <w:b/>
          <w:sz w:val="24"/>
          <w:szCs w:val="24"/>
        </w:rPr>
        <w:t>Pomoći</w:t>
      </w:r>
      <w:r w:rsidRPr="008610F1">
        <w:rPr>
          <w:rFonts w:ascii="Times New Roman" w:hAnsi="Times New Roman" w:cs="Times New Roman"/>
          <w:sz w:val="24"/>
          <w:szCs w:val="24"/>
        </w:rPr>
        <w:t xml:space="preserve"> iz inozemstva i od subjekata unutar općeg proračuna planirane su u iznosu od </w:t>
      </w:r>
      <w:r w:rsidRPr="008610F1">
        <w:rPr>
          <w:rStyle w:val="fontstyle01"/>
          <w:rFonts w:ascii="Times New Roman" w:hAnsi="Times New Roman" w:cs="Times New Roman"/>
          <w:sz w:val="24"/>
          <w:szCs w:val="24"/>
        </w:rPr>
        <w:t xml:space="preserve">304.576,00 eura, a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ostvarene su u iznosu od 111.623</w:t>
      </w:r>
      <w:r w:rsidR="008D5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,58 eura   što je 72,45 % više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isto izvještajno razdoblje prethodne proračunske godine.  Radi se o prihodima/pomoćima iz državnog proračuna s osnove fiskalnog izravnanja. Prema izračunu od strane Ministarstva financija ono na godišnjoj razini iznosi 222.</w:t>
      </w:r>
      <w:r w:rsidR="008D5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244 eura, što za ovo razdoblje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>iznosi 111.121,98 eura.</w:t>
      </w:r>
      <w:r w:rsidR="00224454"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ovm izvještajnom razdoblju nije bilo kapitalne pomoći od Ministarstva mora, prometa i infrastrukture za sanaciju pokosa – Sabunike te kapitalne pomoći Županijske uprave za ceste stoga je i izvršenje manje u odnosu na plan.</w:t>
      </w:r>
      <w:r w:rsidR="0080663F"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pomoći proračunskim korisnicima iz drugih proračuna ostvarene su u iznosu od 501,60 eura, a odnosi se na doznake od Ministarstva znanosti i obrazovanja za financiranje programa predškole i za rad s djecom s poteškoćama. Ova sredstva predstavljaju prihod proračunskog korisnika.</w:t>
      </w:r>
    </w:p>
    <w:p w14:paraId="0C3DC3A4" w14:textId="77777777" w:rsidR="00DB1886" w:rsidRPr="008610F1" w:rsidRDefault="00DB1886" w:rsidP="008610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87161D" w14:textId="0CBBC24F" w:rsidR="00B47CF6" w:rsidRPr="008610F1" w:rsidRDefault="00197512" w:rsidP="008610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52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od imovin</w:t>
      </w:r>
      <w:r w:rsidRPr="008D5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planirani su u iznosu od </w:t>
      </w:r>
      <w:r w:rsidRPr="008D52C5">
        <w:rPr>
          <w:rStyle w:val="fontstyle01"/>
          <w:rFonts w:ascii="Times New Roman" w:hAnsi="Times New Roman" w:cs="Times New Roman"/>
          <w:sz w:val="24"/>
          <w:szCs w:val="24"/>
        </w:rPr>
        <w:t>67.893,00 eura, a realizirani su u iznosu od 12.108,44 eura ili 17,83% plana.</w:t>
      </w:r>
      <w:r w:rsidR="00B47CF6" w:rsidRPr="008D52C5">
        <w:rPr>
          <w:rStyle w:val="fontstyle01"/>
          <w:rFonts w:ascii="Times New Roman" w:hAnsi="Times New Roman" w:cs="Times New Roman"/>
          <w:sz w:val="24"/>
          <w:szCs w:val="24"/>
        </w:rPr>
        <w:t xml:space="preserve"> Ovi prihodi odnose se na prihode od financijske imovine te prihode od nefinancijske imovine. </w:t>
      </w:r>
      <w:r w:rsidR="00B47CF6" w:rsidRPr="008D52C5">
        <w:rPr>
          <w:rFonts w:ascii="Times New Roman" w:eastAsia="Times New Roman" w:hAnsi="Times New Roman" w:cs="Times New Roman"/>
          <w:sz w:val="24"/>
          <w:szCs w:val="24"/>
          <w:lang w:eastAsia="hr-HR"/>
        </w:rPr>
        <w:t>I dok su se kamate a vista naplatile na razini prethodne godine ostali prihodi u odnosu na prethodnu godinu u ovoj podskupini prihoda naplaćeni su znatno manje. Prihod / naknada od nezakonito izgrađenih zgrada u prostoru naplać</w:t>
      </w:r>
      <w:r w:rsidR="008D52C5" w:rsidRPr="008D5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ena je u iznosu od 519,78 eura. </w:t>
      </w:r>
      <w:r w:rsidR="00B47CF6" w:rsidRPr="008D52C5">
        <w:rPr>
          <w:rFonts w:ascii="Times New Roman" w:eastAsia="Times New Roman" w:hAnsi="Times New Roman" w:cs="Times New Roman"/>
          <w:sz w:val="24"/>
          <w:szCs w:val="24"/>
          <w:lang w:eastAsia="hr-HR"/>
        </w:rPr>
        <w:t>Nominalno više za 303,13 eura. Razrez za spomeničku rentu nije bio do kraja lipnja 2023.godine.</w:t>
      </w:r>
    </w:p>
    <w:p w14:paraId="31681E78" w14:textId="77777777" w:rsidR="00DB1886" w:rsidRPr="008610F1" w:rsidRDefault="00DB1886" w:rsidP="008610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65A376" w14:textId="6606120B" w:rsidR="001D4C9D" w:rsidRPr="008610F1" w:rsidRDefault="00A865EC" w:rsidP="008610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Prihodi od upravnih i administrativnih pristojbi, pristojbi po posebnim propisima i naknada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planirani su u iznosu od </w:t>
      </w:r>
      <w:r w:rsidRPr="008610F1">
        <w:rPr>
          <w:rStyle w:val="fontstyle01"/>
          <w:rFonts w:ascii="Times New Roman" w:hAnsi="Times New Roman" w:cs="Times New Roman"/>
          <w:sz w:val="24"/>
          <w:szCs w:val="24"/>
        </w:rPr>
        <w:t>1.683.113,22 eura, a realizirani su u iznosu od 640.381,99 eura ili 38,05%. Ovi prihodi obuhvaćaju upravne i administrativne pristojbe,</w:t>
      </w:r>
      <w:r w:rsidR="008D52C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610F1">
        <w:rPr>
          <w:rStyle w:val="fontstyle01"/>
          <w:rFonts w:ascii="Times New Roman" w:hAnsi="Times New Roman" w:cs="Times New Roman"/>
          <w:sz w:val="24"/>
          <w:szCs w:val="24"/>
        </w:rPr>
        <w:t>prihode po posebnim propisima, komunalni doprinos i naknade.</w:t>
      </w:r>
      <w:r w:rsidR="006220AF" w:rsidRPr="008610F1">
        <w:rPr>
          <w:rStyle w:val="fontstyle01"/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6220AF"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>16,58% više.</w:t>
      </w:r>
      <w:r w:rsidR="001D4C9D"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 su se upravne i administrativne pristojbe naplatile   u iznosu od </w:t>
      </w:r>
      <w:r w:rsidR="00396258" w:rsidRPr="008610F1">
        <w:rPr>
          <w:rStyle w:val="fontstyle01"/>
          <w:rFonts w:ascii="Times New Roman" w:hAnsi="Times New Roman" w:cs="Times New Roman"/>
          <w:sz w:val="24"/>
          <w:szCs w:val="24"/>
        </w:rPr>
        <w:t>23.335,73</w:t>
      </w:r>
      <w:r w:rsidR="00396258" w:rsidRPr="008610F1">
        <w:rPr>
          <w:rFonts w:ascii="Times New Roman" w:hAnsi="Times New Roman" w:cs="Times New Roman"/>
          <w:sz w:val="24"/>
          <w:szCs w:val="24"/>
        </w:rPr>
        <w:t xml:space="preserve"> </w:t>
      </w:r>
      <w:r w:rsidR="001D4C9D"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eura što je </w:t>
      </w:r>
      <w:r w:rsidR="00396258"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>66,83</w:t>
      </w:r>
      <w:r w:rsidR="001D4C9D"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više u odnosu na isto izvještajno r</w:t>
      </w:r>
      <w:r w:rsidR="008D5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azdoblje prethodne godine zbog </w:t>
      </w:r>
      <w:r w:rsidR="001D4C9D"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>bolje naplate turističke pristojbe i drugih naknada.</w:t>
      </w:r>
    </w:p>
    <w:p w14:paraId="103C8C62" w14:textId="11EF147A" w:rsidR="008B51C0" w:rsidRPr="008610F1" w:rsidRDefault="008B51C0" w:rsidP="008610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po posebnim propisima realizirani su u iznosu od </w:t>
      </w:r>
      <w:r w:rsidRPr="008610F1">
        <w:rPr>
          <w:rStyle w:val="fontstyle01"/>
          <w:rFonts w:ascii="Times New Roman" w:hAnsi="Times New Roman" w:cs="Times New Roman"/>
          <w:sz w:val="24"/>
          <w:szCs w:val="24"/>
        </w:rPr>
        <w:t>94.619,07 eura ili 88,54 % više nego u istom razdoblju prethodne godine.</w:t>
      </w:r>
      <w:r w:rsidR="000B3D58" w:rsidRPr="008610F1">
        <w:rPr>
          <w:rStyle w:val="fontstyle01"/>
          <w:rFonts w:ascii="Times New Roman" w:hAnsi="Times New Roman" w:cs="Times New Roman"/>
          <w:sz w:val="24"/>
          <w:szCs w:val="24"/>
        </w:rPr>
        <w:t xml:space="preserve"> Bolju naplatu uvjetovali su prihodi od dječjeg vrtića Sabunić i to kao participacija roditelja u cijeni smještaja djece u vrtic.</w:t>
      </w:r>
      <w:r w:rsidR="000B3D58" w:rsidRPr="008610F1">
        <w:rPr>
          <w:rFonts w:ascii="Times New Roman" w:hAnsi="Times New Roman" w:cs="Times New Roman"/>
          <w:sz w:val="24"/>
          <w:szCs w:val="24"/>
        </w:rPr>
        <w:t xml:space="preserve"> </w:t>
      </w:r>
      <w:r w:rsidR="000B3D58" w:rsidRPr="008610F1">
        <w:rPr>
          <w:rStyle w:val="fontstyle01"/>
          <w:rFonts w:ascii="Times New Roman" w:hAnsi="Times New Roman" w:cs="Times New Roman"/>
          <w:sz w:val="24"/>
          <w:szCs w:val="24"/>
        </w:rPr>
        <w:t>U odnosu na njihov plan naplaćeno je 52,66%. U 2023.godini vrtic pohađa gotovo dvostruko više djece nego u 2022.godini</w:t>
      </w:r>
      <w:r w:rsidR="008D52C5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7DE24D03" w14:textId="77777777" w:rsidR="00A865EC" w:rsidRPr="008610F1" w:rsidRDefault="00C03063" w:rsidP="008610F1">
      <w:pPr>
        <w:spacing w:line="240" w:lineRule="auto"/>
        <w:ind w:left="36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Komunalni doprinos </w:t>
      </w:r>
      <w:r w:rsidR="00BC27DB"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komunalna naknada realizirani su u iznosu od </w:t>
      </w:r>
      <w:r w:rsidRPr="008610F1">
        <w:rPr>
          <w:rStyle w:val="fontstyle01"/>
          <w:rFonts w:ascii="Times New Roman" w:hAnsi="Times New Roman" w:cs="Times New Roman"/>
          <w:sz w:val="24"/>
          <w:szCs w:val="24"/>
        </w:rPr>
        <w:t>522.427,19 eura</w:t>
      </w:r>
      <w:r w:rsidR="00C34804" w:rsidRPr="008610F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485BB4" w:rsidRPr="008610F1">
        <w:rPr>
          <w:rStyle w:val="fontstyle01"/>
          <w:rFonts w:ascii="Times New Roman" w:hAnsi="Times New Roman" w:cs="Times New Roman"/>
          <w:sz w:val="24"/>
          <w:szCs w:val="24"/>
        </w:rPr>
        <w:t xml:space="preserve"> U odnosu na njihov plan realizirano 40,54%.</w:t>
      </w:r>
    </w:p>
    <w:p w14:paraId="6DB172E2" w14:textId="673E1992" w:rsidR="0064738F" w:rsidRPr="008610F1" w:rsidRDefault="0064738F" w:rsidP="008610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Prihodi od prodaje proizvoda i robe te pruženih usluga, prihodi od donacija te povrati po protestiranim jamstvima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su u iznos od 663,00 eura</w:t>
      </w:r>
      <w:r w:rsidR="008D52C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D52C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D52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realizirani su u iznosu od 12,32 eura i evidentirani kod korisnika kao tekuća donacija. Prethodne godine u ovom razdoblju nije bilo donacija pa nema ni usporednih veličina.  U odnosu na plan realiziralo se 1,86%. </w:t>
      </w:r>
      <w:r w:rsidR="00A42FE1"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>Za očekivati je da će vrtic ostvariti još donacija do kraja 2023.godine.</w:t>
      </w:r>
    </w:p>
    <w:p w14:paraId="4B913F9D" w14:textId="77777777" w:rsidR="00A42FE1" w:rsidRPr="008610F1" w:rsidRDefault="00A42FE1" w:rsidP="008610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423916" w14:textId="77777777" w:rsidR="00A42FE1" w:rsidRPr="008610F1" w:rsidRDefault="00A42FE1" w:rsidP="008610F1">
      <w:pPr>
        <w:spacing w:after="0" w:line="240" w:lineRule="auto"/>
        <w:ind w:left="36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Kazne, upravne mjere i ostali prihodi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planirani su u iznosu od </w:t>
      </w:r>
      <w:r w:rsidR="00324E10" w:rsidRPr="008610F1">
        <w:rPr>
          <w:rStyle w:val="fontstyle01"/>
          <w:rFonts w:ascii="Times New Roman" w:hAnsi="Times New Roman" w:cs="Times New Roman"/>
          <w:sz w:val="24"/>
          <w:szCs w:val="24"/>
        </w:rPr>
        <w:t xml:space="preserve">19.909,00 eura, a </w:t>
      </w:r>
      <w:r w:rsidR="00324E10"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realizirani su u iznosu od 3.371,99 eura ili 43,3% više nego prethodne godine zbog prihoda/povrata koji se odnose na više plaćeno iz prethodnih godina. U odnosu na plan realizirano je </w:t>
      </w:r>
      <w:r w:rsidR="00381696" w:rsidRPr="008610F1">
        <w:rPr>
          <w:rStyle w:val="fontstyle01"/>
          <w:rFonts w:ascii="Times New Roman" w:hAnsi="Times New Roman" w:cs="Times New Roman"/>
          <w:sz w:val="24"/>
          <w:szCs w:val="24"/>
        </w:rPr>
        <w:t>16,94%</w:t>
      </w:r>
      <w:r w:rsidR="002D5EB0" w:rsidRPr="008610F1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6D94CCAB" w14:textId="77777777" w:rsidR="00FB6A84" w:rsidRPr="008610F1" w:rsidRDefault="00FB6A84" w:rsidP="008610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7CA77F" w14:textId="77777777" w:rsidR="00FB6A84" w:rsidRPr="008610F1" w:rsidRDefault="00FB6A84" w:rsidP="008610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3271DA" w14:textId="77777777" w:rsidR="00485BB4" w:rsidRPr="008610F1" w:rsidRDefault="00FB6A84" w:rsidP="008610F1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OD PRODAJE NEFINANCIJSKE IMOVINE</w:t>
      </w:r>
    </w:p>
    <w:p w14:paraId="2F469350" w14:textId="77777777" w:rsidR="00EF2F0A" w:rsidRPr="008610F1" w:rsidRDefault="00EF2F0A" w:rsidP="008610F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8E1E35" w14:textId="77777777" w:rsidR="003D204F" w:rsidRPr="008610F1" w:rsidRDefault="00FB6A84" w:rsidP="008610F1">
      <w:pPr>
        <w:widowControl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od prodaje nefinancijske imovine planirani su u iznosu od </w:t>
      </w:r>
      <w:r w:rsidRPr="008610F1">
        <w:rPr>
          <w:rStyle w:val="fontstyle01"/>
          <w:rFonts w:ascii="Times New Roman" w:hAnsi="Times New Roman" w:cs="Times New Roman"/>
          <w:sz w:val="24"/>
          <w:szCs w:val="24"/>
        </w:rPr>
        <w:t xml:space="preserve">122.666,00 eura, a realizirani su u iznosu </w:t>
      </w:r>
      <w:r w:rsidR="00457428" w:rsidRPr="008610F1">
        <w:rPr>
          <w:rStyle w:val="fontstyle01"/>
          <w:rFonts w:ascii="Times New Roman" w:hAnsi="Times New Roman" w:cs="Times New Roman"/>
          <w:sz w:val="24"/>
          <w:szCs w:val="24"/>
        </w:rPr>
        <w:t xml:space="preserve">15.050,80 eura ili 12,27%. Ovi prihodi </w:t>
      </w:r>
      <w:r w:rsidR="003D204F" w:rsidRPr="008610F1">
        <w:rPr>
          <w:rFonts w:ascii="Times New Roman" w:hAnsi="Times New Roman" w:cs="Times New Roman"/>
          <w:sz w:val="24"/>
          <w:szCs w:val="24"/>
        </w:rPr>
        <w:t xml:space="preserve">sadrže plan prihoda </w:t>
      </w:r>
      <w:r w:rsidR="003D204F" w:rsidRPr="008610F1">
        <w:rPr>
          <w:rFonts w:ascii="Times New Roman" w:hAnsi="Times New Roman" w:cs="Times New Roman"/>
          <w:bCs/>
          <w:sz w:val="24"/>
          <w:szCs w:val="24"/>
        </w:rPr>
        <w:t>od prodaje nefinancijske imovine</w:t>
      </w:r>
      <w:r w:rsidR="003D204F" w:rsidRPr="008610F1">
        <w:rPr>
          <w:rFonts w:ascii="Times New Roman" w:hAnsi="Times New Roman" w:cs="Times New Roman"/>
          <w:sz w:val="24"/>
          <w:szCs w:val="24"/>
        </w:rPr>
        <w:t xml:space="preserve"> i prihode od prodaje proizvedene dugotrajne imovine. Naplaćena realizacija odnosi se </w:t>
      </w:r>
      <w:r w:rsidR="003D204F"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prihod od prodaje građevinskih zemljišta.  Evidentirala se druga rata naplate prihoda od prošlogodišnje prodaje zemljišta.</w:t>
      </w:r>
      <w:r w:rsidR="00746960" w:rsidRPr="008610F1">
        <w:rPr>
          <w:rFonts w:ascii="Times New Roman" w:hAnsi="Times New Roman" w:cs="Times New Roman"/>
          <w:sz w:val="24"/>
          <w:szCs w:val="24"/>
        </w:rPr>
        <w:t xml:space="preserve">  U ovom izvještajnom razdoblju izostala je </w:t>
      </w:r>
      <w:r w:rsidR="00746960"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prodaja stambenih objekata, i prijevoznih sredstava stoga je i realzacija manja u odnosu na plan.</w:t>
      </w:r>
    </w:p>
    <w:p w14:paraId="0429AF4C" w14:textId="77777777" w:rsidR="003D204F" w:rsidRPr="008610F1" w:rsidRDefault="003D204F" w:rsidP="008610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6BA7E" w14:textId="77777777" w:rsidR="00FB6A84" w:rsidRPr="008610F1" w:rsidRDefault="00900B6A" w:rsidP="008610F1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PRIMICI</w:t>
      </w:r>
    </w:p>
    <w:p w14:paraId="249D6358" w14:textId="6A46F10A" w:rsidR="00900B6A" w:rsidRPr="008610F1" w:rsidRDefault="00900B6A" w:rsidP="008610F1">
      <w:pPr>
        <w:widowControl w:val="0"/>
        <w:autoSpaceDE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>Planom proračuna za 2023. godinu primici nisu planirani. Prethodne godine iskazali su se primici</w:t>
      </w:r>
      <w:r w:rsidR="008D5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925.945,92 </w:t>
      </w:r>
      <w:proofErr w:type="gramStart"/>
      <w:r w:rsidR="008D52C5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koji</w:t>
      </w:r>
      <w:proofErr w:type="gramEnd"/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se odnosili na primljeni kredit od ZABA d.d. i koji je realiziran za izgradnju dječjeg vrtića u Privlaci.</w:t>
      </w:r>
    </w:p>
    <w:p w14:paraId="2A10FFA7" w14:textId="2C919290" w:rsidR="008610F1" w:rsidRDefault="008610F1" w:rsidP="008610F1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7B075AD" w14:textId="77777777" w:rsidR="00504203" w:rsidRDefault="00504203" w:rsidP="008610F1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E16946E" w14:textId="7ACC9850" w:rsidR="008610F1" w:rsidRPr="008610F1" w:rsidRDefault="008D52C5" w:rsidP="008610F1">
      <w:pPr>
        <w:tabs>
          <w:tab w:val="left" w:pos="12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</w:t>
      </w:r>
      <w:r w:rsidR="008610F1"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3. </w:t>
      </w:r>
      <w:r w:rsidR="008610F1" w:rsidRPr="008610F1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RASHODI I IZDACI</w:t>
      </w:r>
    </w:p>
    <w:p w14:paraId="04F43038" w14:textId="6DD4195E" w:rsidR="008610F1" w:rsidRPr="008610F1" w:rsidRDefault="008610F1" w:rsidP="00861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6EA8E44" w14:textId="77777777" w:rsidR="008610F1" w:rsidRPr="008610F1" w:rsidRDefault="008610F1" w:rsidP="008D5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>Rashodi i izdaci su prvim izmjenama i dopunama Proračuna za 2023. godinu planirani u iznosu od 5.439.547,26 eur, a realizirani su u iznosu od 2.107.061,28 eur ili 38,74 % plana. U strukturi ostvarenih rashoda i izdataka najzastupljeniji su rashodi poslovanja u iznosu od 1.207.864,66 eur, zatim rashodi za nabavu nefinancijske imovine u iznosu od 631.827,24 eur te izdaci u iznosu od 267.369,38 eur.</w:t>
      </w:r>
    </w:p>
    <w:p w14:paraId="0F6089D8" w14:textId="77777777" w:rsidR="008610F1" w:rsidRPr="008610F1" w:rsidRDefault="008610F1" w:rsidP="00861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594CD5C" w14:textId="77777777" w:rsidR="008610F1" w:rsidRPr="008610F1" w:rsidRDefault="008610F1" w:rsidP="008610F1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3.1. RASHODI POSLOVANJA </w:t>
      </w:r>
    </w:p>
    <w:p w14:paraId="3896E424" w14:textId="77777777" w:rsidR="008610F1" w:rsidRPr="008610F1" w:rsidRDefault="008610F1" w:rsidP="008610F1">
      <w:pPr>
        <w:spacing w:after="0" w:line="28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FBB08E1" w14:textId="77777777" w:rsidR="008610F1" w:rsidRPr="008610F1" w:rsidRDefault="008610F1" w:rsidP="008610F1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Rashodi poslovanja Općine Privlaka su </w:t>
      </w:r>
      <w:r w:rsidRPr="008610F1">
        <w:rPr>
          <w:rFonts w:ascii="Times New Roman" w:hAnsi="Times New Roman" w:cs="Times New Roman"/>
          <w:sz w:val="24"/>
          <w:szCs w:val="24"/>
        </w:rPr>
        <w:t>prvim izmjenama i dopunama Proračuna za 2023. godinu planirani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iznosu od 3.334.157,82 eura, a realizirani su u iznosu od 1.207.864,66 eur ili 36,23 % planiranog iznosa, a u odnosu na isto izvještajno razdoblje prethodne proračunske godinu ostvareni su u manjem iznosu za 11,54 % te se obrazlažu na razini podskupina/odjeljka a odnose se na:</w:t>
      </w:r>
    </w:p>
    <w:p w14:paraId="15506460" w14:textId="77777777" w:rsidR="008610F1" w:rsidRPr="008610F1" w:rsidRDefault="008610F1" w:rsidP="008610F1">
      <w:pPr>
        <w:spacing w:after="0" w:line="236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-rashode za zaposlene</w:t>
      </w:r>
    </w:p>
    <w:p w14:paraId="48277909" w14:textId="77777777" w:rsidR="008610F1" w:rsidRPr="008610F1" w:rsidRDefault="008610F1" w:rsidP="008610F1">
      <w:pPr>
        <w:spacing w:after="0" w:line="236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-materijalne rashode</w:t>
      </w:r>
    </w:p>
    <w:p w14:paraId="2D5B3705" w14:textId="77777777" w:rsidR="008610F1" w:rsidRPr="008610F1" w:rsidRDefault="008610F1" w:rsidP="008610F1">
      <w:pPr>
        <w:spacing w:after="0" w:line="236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-financijske rashode</w:t>
      </w:r>
    </w:p>
    <w:p w14:paraId="1F5A921C" w14:textId="77777777" w:rsidR="008610F1" w:rsidRPr="008610F1" w:rsidRDefault="008610F1" w:rsidP="008610F1">
      <w:pPr>
        <w:spacing w:after="0" w:line="236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-subvencije</w:t>
      </w:r>
    </w:p>
    <w:p w14:paraId="70A40719" w14:textId="77777777" w:rsidR="008610F1" w:rsidRPr="008610F1" w:rsidRDefault="008610F1" w:rsidP="008610F1">
      <w:pPr>
        <w:spacing w:after="0" w:line="236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-pomoći</w:t>
      </w:r>
    </w:p>
    <w:p w14:paraId="5FB13C7F" w14:textId="77777777" w:rsidR="008610F1" w:rsidRPr="008610F1" w:rsidRDefault="008610F1" w:rsidP="008610F1">
      <w:pPr>
        <w:spacing w:after="0" w:line="236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-naknade građanima i kućanstvima</w:t>
      </w:r>
    </w:p>
    <w:p w14:paraId="2D6ABC10" w14:textId="77777777" w:rsidR="008610F1" w:rsidRPr="008610F1" w:rsidRDefault="008610F1" w:rsidP="008610F1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lastRenderedPageBreak/>
        <w:t>-ostale rashode</w:t>
      </w:r>
    </w:p>
    <w:p w14:paraId="72BD892D" w14:textId="77777777" w:rsidR="008610F1" w:rsidRPr="008610F1" w:rsidRDefault="008610F1" w:rsidP="008610F1">
      <w:pPr>
        <w:spacing w:after="0" w:line="282" w:lineRule="exact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6C447B9B" w14:textId="307C485F" w:rsidR="008610F1" w:rsidRPr="008610F1" w:rsidRDefault="008610F1" w:rsidP="008610F1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Rashodi za zaposlene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 </w:t>
      </w:r>
      <w:r w:rsidRPr="008610F1">
        <w:rPr>
          <w:rFonts w:ascii="Times New Roman" w:hAnsi="Times New Roman" w:cs="Times New Roman"/>
          <w:sz w:val="24"/>
          <w:szCs w:val="24"/>
        </w:rPr>
        <w:t>prvim izmjenama i dopunama Proračuna za 2023. godinu planirani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iznosu od 597.454,78 eura, a ostvareni su u iznosu od 232.544,95 eur ili 38,92 % plana, što je u odnosu na prethodnu godinu za 49,89 % više. Rashodi za zaposlene osim djelatnika općine Privlaka obuhvaćaju i plaće proračunskog korisnika Dječjeg vrtića Sabunić što je i razlog znatno većeg ostvarenja u odnosu na isto izvještajno razdoblje prethodne proračunske godine. Naime, otvorena je nova zgrada Dječjeg vrtića te je došlo do zapošljavanja novih djelatnika kao i donošenje novog pravilnika o radu Dječjeg vrtića Sabunić pa time i povećanja rashoda za zaposlene koji </w:t>
      </w:r>
      <w:proofErr w:type="gramStart"/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obuhvaćaju :</w:t>
      </w:r>
      <w:proofErr w:type="gramEnd"/>
    </w:p>
    <w:p w14:paraId="1A46D7AE" w14:textId="77777777" w:rsidR="008610F1" w:rsidRPr="008610F1" w:rsidRDefault="008610F1" w:rsidP="008610F1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ACCF71E" w14:textId="12FA185C" w:rsidR="008610F1" w:rsidRPr="008610F1" w:rsidRDefault="008D52C5" w:rsidP="008610F1">
      <w:pPr>
        <w:numPr>
          <w:ilvl w:val="0"/>
          <w:numId w:val="5"/>
        </w:numPr>
        <w:tabs>
          <w:tab w:val="left" w:pos="724"/>
        </w:tabs>
        <w:spacing w:after="0" w:line="240" w:lineRule="auto"/>
        <w:ind w:left="724" w:hanging="364"/>
        <w:rPr>
          <w:rFonts w:ascii="Symbol" w:eastAsia="Symbol" w:hAnsi="Symbol" w:cs="Symbol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plaće za zaposlene </w:t>
      </w:r>
      <w:r w:rsidR="008610F1"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koje su ostvarene u iznosu od 193.927,42 eur</w:t>
      </w:r>
    </w:p>
    <w:p w14:paraId="143109A0" w14:textId="77777777" w:rsidR="008610F1" w:rsidRPr="008610F1" w:rsidRDefault="008610F1" w:rsidP="008610F1">
      <w:pPr>
        <w:numPr>
          <w:ilvl w:val="0"/>
          <w:numId w:val="5"/>
        </w:numPr>
        <w:tabs>
          <w:tab w:val="left" w:pos="724"/>
        </w:tabs>
        <w:spacing w:after="0" w:line="240" w:lineRule="auto"/>
        <w:ind w:left="724" w:hanging="364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doprinose na plaće za zaposlene u iznosu od 31.819,66 eur</w:t>
      </w:r>
    </w:p>
    <w:p w14:paraId="384AFCCB" w14:textId="77777777" w:rsidR="008610F1" w:rsidRPr="008610F1" w:rsidRDefault="008610F1" w:rsidP="008610F1">
      <w:pPr>
        <w:numPr>
          <w:ilvl w:val="0"/>
          <w:numId w:val="5"/>
        </w:numPr>
        <w:tabs>
          <w:tab w:val="left" w:pos="724"/>
        </w:tabs>
        <w:spacing w:after="0" w:line="239" w:lineRule="auto"/>
        <w:ind w:left="724" w:hanging="364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ostali rashodi za zaposlene (nagrade, regres) u iznosu od 6.797,87 eur.</w:t>
      </w:r>
    </w:p>
    <w:p w14:paraId="2FD0BE08" w14:textId="77777777" w:rsidR="008610F1" w:rsidRPr="008610F1" w:rsidRDefault="008610F1" w:rsidP="008610F1">
      <w:pPr>
        <w:spacing w:after="0" w:line="271" w:lineRule="exact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7616FAEA" w14:textId="77777777" w:rsidR="008610F1" w:rsidRPr="008610F1" w:rsidRDefault="008610F1" w:rsidP="00861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Materijalni rashodi</w:t>
      </w:r>
      <w:r w:rsidRPr="00861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planirani u iznosu od 1.732.790,15 eur, a ostvareni su u iznosu od 581.838,03 eur ili 33,58 % planiranog iznosa. U odnosu na prethodno razdoblje to je manje za 19,9 %. U materijalne rashode spadaju: naknade troškova zaposlenima, rashodi za materijal i energiju, rashodi za usluge i ostali nespomenuti rashodi. Detaljnije se daje u nastavku:</w:t>
      </w:r>
    </w:p>
    <w:p w14:paraId="6AA4E42F" w14:textId="77777777" w:rsidR="008610F1" w:rsidRPr="008610F1" w:rsidRDefault="008610F1" w:rsidP="008610F1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52D2BE9B" w14:textId="77777777" w:rsidR="008610F1" w:rsidRPr="008610F1" w:rsidRDefault="008610F1" w:rsidP="008610F1">
      <w:pPr>
        <w:spacing w:after="0" w:line="34" w:lineRule="exact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79E730D9" w14:textId="77777777" w:rsidR="008610F1" w:rsidRPr="008610F1" w:rsidRDefault="008610F1" w:rsidP="008610F1">
      <w:pPr>
        <w:tabs>
          <w:tab w:val="left" w:pos="724"/>
        </w:tabs>
        <w:spacing w:after="0" w:line="233" w:lineRule="auto"/>
        <w:ind w:right="20"/>
        <w:jc w:val="both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Naknade troškova zaposlenima </w:t>
      </w:r>
      <w:r w:rsidRPr="00861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su prvim izmjenama i dopunama proračuna za 2023. godinu 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planirane u iznosu od 17.104,00 eur, a realizirane u iznosu od 5.328,67 eur ili 31,15 % od plana. Najveće prekoračenje u izvršenju u odnosu na prethodnu godinu imamo kod naknada za prijevoz s posla na posao koje se u najvećoj mjeri odnosi na proračunskog korisnika zbog zapošljavanja novih djelatnika te donošenja novog pravilnika o radu.</w:t>
      </w:r>
    </w:p>
    <w:p w14:paraId="3549EE4B" w14:textId="77777777" w:rsidR="008610F1" w:rsidRPr="008610F1" w:rsidRDefault="008610F1" w:rsidP="008610F1">
      <w:pPr>
        <w:spacing w:after="0" w:line="240" w:lineRule="auto"/>
        <w:jc w:val="both"/>
        <w:rPr>
          <w:rFonts w:ascii="Symbol" w:eastAsia="Symbol" w:hAnsi="Symbol" w:cs="Symbol"/>
          <w:color w:val="FF0000"/>
          <w:sz w:val="24"/>
          <w:szCs w:val="24"/>
          <w:lang w:eastAsia="en-GB"/>
        </w:rPr>
      </w:pPr>
    </w:p>
    <w:p w14:paraId="704777A7" w14:textId="2AF1295F" w:rsidR="008610F1" w:rsidRPr="008610F1" w:rsidRDefault="008610F1" w:rsidP="00861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Rashodi za materijal i energiju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61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su prvim izmjenam</w:t>
      </w:r>
      <w:r w:rsidR="008D5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a i dopunama proračuna za 2023. </w:t>
      </w:r>
      <w:proofErr w:type="gramStart"/>
      <w:r w:rsidRPr="00861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godinu 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planirani</w:t>
      </w:r>
      <w:proofErr w:type="gramEnd"/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iznosu od 247.170,88 eur, a realizirani su u iznosu od 43.044,31 eur odnosno 17,41 % plana. Financijski najznačajniji rashodi u ovoj podskupini su rashodi za električnu energiju koji su realizirani u iznosu od </w:t>
      </w:r>
      <w:r w:rsidRPr="008610F1">
        <w:rPr>
          <w:rFonts w:ascii="Times New Roman" w:eastAsia="Times New Roman" w:hAnsi="Times New Roman" w:cs="Times New Roman"/>
          <w:sz w:val="24"/>
          <w:szCs w:val="24"/>
          <w:lang w:val="en-US"/>
        </w:rPr>
        <w:t>18.094,37 eur odnosno 11,08 % plana. U odnosu na isto izvještajno razdoblje prethodne proračunske godine rashodi za električnu energiju manji su za 47.296,18 eur zbog provođenja mjera za poboljšanje energetske učinkovitosti sustava javne ravjete zbog kojih je i realiazcija plan također manja.</w:t>
      </w:r>
    </w:p>
    <w:p w14:paraId="00C63BA8" w14:textId="77777777" w:rsidR="008610F1" w:rsidRPr="008610F1" w:rsidRDefault="008610F1" w:rsidP="00861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Značajna odstupanja u odnosu na prethodnu godinu imamo i kod rashoda za nabavu uredskog i ostalih materijalnih rashoda, materijala i sirovina, zatim materijala za tekuće i investicijsko održavanje kao I rashoda za nabavu sitnog inventara povećanje kojih se u najvećoj mjeri odnosi na proračunskog korisnika a sve to zbog </w:t>
      </w:r>
      <w:r w:rsidRPr="008610F1">
        <w:rPr>
          <w:rFonts w:ascii="Times New Roman" w:hAnsi="Times New Roman" w:cs="Times New Roman"/>
          <w:sz w:val="24"/>
          <w:szCs w:val="24"/>
        </w:rPr>
        <w:t>povećanog broja novoupisane djece, preseljenja u nove prostore vrtića, te zbog novozaposlenih djelatnika.</w:t>
      </w:r>
    </w:p>
    <w:p w14:paraId="4FEB446B" w14:textId="77777777" w:rsidR="008610F1" w:rsidRPr="008610F1" w:rsidRDefault="008610F1" w:rsidP="008610F1">
      <w:pPr>
        <w:tabs>
          <w:tab w:val="left" w:pos="724"/>
        </w:tabs>
        <w:spacing w:after="0" w:line="234" w:lineRule="auto"/>
        <w:jc w:val="both"/>
        <w:rPr>
          <w:rFonts w:ascii="Symbol" w:eastAsia="Symbol" w:hAnsi="Symbol" w:cs="Symbol"/>
          <w:color w:val="FF0000"/>
          <w:sz w:val="24"/>
          <w:szCs w:val="24"/>
          <w:lang w:eastAsia="en-GB"/>
        </w:rPr>
      </w:pPr>
    </w:p>
    <w:p w14:paraId="0FAC930B" w14:textId="77777777" w:rsidR="008610F1" w:rsidRPr="008610F1" w:rsidRDefault="008610F1" w:rsidP="008610F1">
      <w:pPr>
        <w:tabs>
          <w:tab w:val="left" w:pos="724"/>
        </w:tabs>
        <w:spacing w:after="0" w:line="237" w:lineRule="auto"/>
        <w:ind w:right="20"/>
        <w:jc w:val="both"/>
        <w:rPr>
          <w:rFonts w:ascii="Symbol" w:eastAsia="Symbol" w:hAnsi="Symbol" w:cs="Symbol"/>
          <w:color w:val="FF0000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Rashodi za usluge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planirani prvim izmjenama i dopunama proračuna za 2023. godinu iznose 1.297.078,00 eur, a ostvareni su u iznosu od 505.426,98 eur što je 38,97 % plana, a u odnosu na prethodnu godinu izvršeni su za 3,38 % više odnosno za 18.938,96 eur. Rashodi za usluge su najzastupljeniji rashodi unutar materijalnih rashoda i čine ih rashodi za telefon, poštu i prijevoz, usluge za tekuće i investicijsko održavanje, usluge promidžbe i informiranja, komunalne i intelekualne usluge, zdravstvene i veterinarske usluge, računalne usluge te zakupnine i najamnine i ostale usluge. Ovi rashodi ostvareni su unutar planiranih veličina </w:t>
      </w:r>
    </w:p>
    <w:p w14:paraId="6A91C796" w14:textId="77777777" w:rsidR="008610F1" w:rsidRPr="008610F1" w:rsidRDefault="008610F1" w:rsidP="008610F1">
      <w:pPr>
        <w:spacing w:after="0" w:line="10" w:lineRule="exact"/>
        <w:rPr>
          <w:rFonts w:ascii="Symbol" w:eastAsia="Symbol" w:hAnsi="Symbol" w:cs="Symbol"/>
          <w:color w:val="FF0000"/>
          <w:sz w:val="24"/>
          <w:szCs w:val="24"/>
          <w:lang w:eastAsia="en-GB"/>
        </w:rPr>
      </w:pPr>
    </w:p>
    <w:p w14:paraId="75A2C757" w14:textId="77777777" w:rsidR="008610F1" w:rsidRPr="008610F1" w:rsidRDefault="008610F1" w:rsidP="008610F1">
      <w:pPr>
        <w:spacing w:after="0" w:line="270" w:lineRule="exact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00C64C7F" w14:textId="77777777" w:rsidR="008610F1" w:rsidRPr="008610F1" w:rsidRDefault="008610F1" w:rsidP="00861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Ostali nespomenuti rashodi poslovanja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 prvim izmjenama i dopunama Proračuna planirani u iznosu od 171.437,27 eur, a izvršeni su u iznosu od 28.038,07 ili 16,35 % plana. </w:t>
      </w:r>
      <w:r w:rsidRPr="008610F1">
        <w:rPr>
          <w:rFonts w:ascii="Times New Roman" w:hAnsi="Times New Roman" w:cs="Times New Roman"/>
          <w:sz w:val="24"/>
          <w:szCs w:val="24"/>
        </w:rPr>
        <w:t xml:space="preserve">Veća realizacija očekuje se u drugom dijelu proračunske godine kada na naplatu dođe poticajna naknada za smanjenje komunalnog otpada.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svojoj strukturi sadržavaju naknade za članove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predstavničkih tijela i članove povjerenstava, premije osiguranja, reprezentaciju, članarine, naknade i pristojbe, troškove sudskih postupaka te ostale nespomenute rashode. U odnosu na prethodnu godinu ovi rashodi su manji za 93.807,03 eur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budući da je u prethodnoj proračunskoj godini plaćena obveze prema sudskom sporu (glavnica) po premetu RO – RO. Smanjenje je vidljivo i kod proračunskog korisnika </w:t>
      </w:r>
      <w:r w:rsidRPr="008610F1">
        <w:rPr>
          <w:rFonts w:ascii="Times New Roman" w:hAnsi="Times New Roman" w:cs="Times New Roman"/>
          <w:sz w:val="24"/>
          <w:szCs w:val="24"/>
        </w:rPr>
        <w:t>iz razloga što vrtić u ovoj godini ima vlastitu kuhinju, a u prošloj godini je imao troškove cateringa za prehranu djece.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F130C8A" w14:textId="605D9139" w:rsidR="008610F1" w:rsidRPr="008610F1" w:rsidRDefault="008610F1" w:rsidP="008610F1">
      <w:pPr>
        <w:spacing w:after="0" w:line="290" w:lineRule="exact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78D4E099" w14:textId="48264B6E" w:rsidR="008610F1" w:rsidRPr="008610F1" w:rsidRDefault="008610F1" w:rsidP="008610F1">
      <w:pPr>
        <w:spacing w:after="0" w:line="238" w:lineRule="auto"/>
        <w:ind w:right="20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Financijski rashodi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F67B2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F67B2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rvim izmjenama i dopunama Proračuna planirani u iznosu od 72.769,00 eur, a ostvareni su u iznosu od 12.651,19 eur ili 17,39 % plana. Odnose se na kamate na primljene kredite, bankarske usluge i usluge platnog prometa, negativne tečajne razlike, zatezne kamate te ostale nespomenute financijske rashode.  Najznačajnije odstupanje u odnosu na prethodnu godinu odnosi se na zatezne kamate čije je ostvarenje znatno manje, točn</w:t>
      </w:r>
      <w:r w:rsidR="004F67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ije za iznos od 149.351,46 eura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budući smo u prethodnoj godini bili u obvezi platiti kamate zbog izgubljenog spora </w:t>
      </w:r>
      <w:proofErr w:type="gramStart"/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( RO</w:t>
      </w:r>
      <w:proofErr w:type="gramEnd"/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-RO projekt).</w:t>
      </w:r>
    </w:p>
    <w:p w14:paraId="72B0C35F" w14:textId="3FF796D2" w:rsidR="008610F1" w:rsidRPr="008610F1" w:rsidRDefault="008610F1" w:rsidP="008610F1">
      <w:pPr>
        <w:spacing w:after="0" w:line="283" w:lineRule="exact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0243FE37" w14:textId="77777777" w:rsidR="008610F1" w:rsidRPr="008610F1" w:rsidRDefault="008610F1" w:rsidP="008610F1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Pomoći dane u inozemstvo i unutar općeg proračuna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 prvim izmjenama i dopunama proračuna planirane u iznosu od 91.866,00 eur dok su ostvarene u iznosu od 27.316,18 eur ili 29,73 % plana. U odnosu na prethodnu godinu ovi rashodi su značajn manji točnije za 107.398,79 eur budući da je u prethodnoj godini isplaćena kapitalna pomoć ŽLU temeljem Ugovora za sufinanciranje radova na Mulu u selu u iznosu od 107.398,79 eur. </w:t>
      </w:r>
    </w:p>
    <w:p w14:paraId="057C2A46" w14:textId="77777777" w:rsidR="008610F1" w:rsidRPr="008610F1" w:rsidRDefault="008610F1" w:rsidP="008610F1">
      <w:pPr>
        <w:spacing w:after="0" w:line="293" w:lineRule="exact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076E6BF1" w14:textId="77777777" w:rsidR="008610F1" w:rsidRPr="008610F1" w:rsidRDefault="008610F1" w:rsidP="008610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Naknade građanima i kućanstvima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su prvim izmjenama i dopunama proračuna</w:t>
      </w: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planirane u iznosu od 76.431,00 eur, a ostvarene su u iznosu od 29.779,04 eur ili 38,96 % planiranog</w:t>
      </w: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8610F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Naknade građanima i kućanstvima odnose se na: </w:t>
      </w:r>
    </w:p>
    <w:p w14:paraId="322FC2FA" w14:textId="77777777" w:rsidR="008610F1" w:rsidRPr="008610F1" w:rsidRDefault="008610F1" w:rsidP="008610F1">
      <w:pPr>
        <w:spacing w:after="0" w:line="266" w:lineRule="exact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6D57B182" w14:textId="77777777" w:rsidR="008610F1" w:rsidRPr="008610F1" w:rsidRDefault="008610F1" w:rsidP="008610F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4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pomoći obiteljima i kućanstvima u iznosu od 7.136,24 eur;</w:t>
      </w:r>
    </w:p>
    <w:p w14:paraId="5841C67B" w14:textId="77777777" w:rsidR="008610F1" w:rsidRPr="008610F1" w:rsidRDefault="008610F1" w:rsidP="008610F1">
      <w:pPr>
        <w:numPr>
          <w:ilvl w:val="0"/>
          <w:numId w:val="6"/>
        </w:numPr>
        <w:tabs>
          <w:tab w:val="left" w:pos="720"/>
        </w:tabs>
        <w:spacing w:after="0" w:line="239" w:lineRule="auto"/>
        <w:ind w:left="720" w:hanging="364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pomoći osobama s invaliditetom u iznosu od 398,20 eur;</w:t>
      </w:r>
    </w:p>
    <w:p w14:paraId="6E683911" w14:textId="77777777" w:rsidR="008610F1" w:rsidRPr="008610F1" w:rsidRDefault="008610F1" w:rsidP="008610F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4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stipendije i školarine u iznosu od 15.608,46 eur;</w:t>
      </w:r>
    </w:p>
    <w:p w14:paraId="2F623FF5" w14:textId="77777777" w:rsidR="008610F1" w:rsidRPr="008610F1" w:rsidRDefault="008610F1" w:rsidP="008610F1">
      <w:pPr>
        <w:spacing w:after="0" w:line="1" w:lineRule="exact"/>
        <w:rPr>
          <w:rFonts w:ascii="Symbol" w:eastAsia="Symbol" w:hAnsi="Symbol" w:cs="Symbol"/>
          <w:color w:val="FF0000"/>
          <w:sz w:val="24"/>
          <w:szCs w:val="24"/>
          <w:lang w:eastAsia="en-GB"/>
        </w:rPr>
      </w:pPr>
    </w:p>
    <w:p w14:paraId="673C5A5E" w14:textId="77777777" w:rsidR="008610F1" w:rsidRPr="008610F1" w:rsidRDefault="008610F1" w:rsidP="008610F1">
      <w:pPr>
        <w:numPr>
          <w:ilvl w:val="0"/>
          <w:numId w:val="6"/>
        </w:numPr>
        <w:tabs>
          <w:tab w:val="left" w:pos="720"/>
        </w:tabs>
        <w:spacing w:after="0" w:line="239" w:lineRule="auto"/>
        <w:ind w:left="720" w:hanging="364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naknada za novorođeno dijete u iznosu od 6.636,14 eur.</w:t>
      </w:r>
    </w:p>
    <w:p w14:paraId="1163A31D" w14:textId="77777777" w:rsidR="008610F1" w:rsidRPr="008610F1" w:rsidRDefault="008610F1" w:rsidP="008610F1">
      <w:p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en-GB"/>
        </w:rPr>
      </w:pPr>
    </w:p>
    <w:p w14:paraId="367556A5" w14:textId="31DDBB3E" w:rsidR="008610F1" w:rsidRPr="008610F1" w:rsidRDefault="008610F1" w:rsidP="008610F1">
      <w:pPr>
        <w:spacing w:after="0" w:line="237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8610F1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>Ostali rashodi</w:t>
      </w:r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</w:t>
      </w:r>
      <w:r w:rsidRPr="00861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su prvim izmjenam</w:t>
      </w:r>
      <w:r w:rsidR="004F6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a i dopunama proračuna za </w:t>
      </w:r>
      <w:proofErr w:type="gramStart"/>
      <w:r w:rsidR="004F6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2023.</w:t>
      </w:r>
      <w:r w:rsidRPr="00861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godinu  </w:t>
      </w:r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>planirani</w:t>
      </w:r>
      <w:proofErr w:type="gramEnd"/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u iznosu od 762.846,89 eur, a realizirani su u iznosu od 323.735,27 eur odnosno 42,44 % plana. Ovi rashodi dijele se na tekuće donacije, kapitalne donacije i kapitalne pomoći te su u odnosu na isto izvještajno razdoblje prethodne proračunske godine veći su za 153.840,19 eur zbog veće dinamike izvođenja radova na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projektu izgradnje kanalizacijske mreže i uređaja za pročišćavanje otpadnih voda pa samim time i više ispalaćene kapitalne pomoći prema dostavljenim zahtjevima za isplatu.</w:t>
      </w:r>
    </w:p>
    <w:p w14:paraId="4E89B9E1" w14:textId="77777777" w:rsidR="008610F1" w:rsidRPr="008610F1" w:rsidRDefault="008610F1" w:rsidP="008610F1">
      <w:pPr>
        <w:spacing w:after="0" w:line="237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14ACC096" w14:textId="77777777" w:rsidR="008610F1" w:rsidRPr="008610F1" w:rsidRDefault="008610F1" w:rsidP="008610F1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Donacije i ostale potpore korisnicima sukladno Programu financiranja političkih stranaka, Programu javnih potreba civilnog društva i ostalih društvenih djelatnosti, Programu javnih potreba socijalne skrbi, Programu javnih potreba u sportu i rekreaciji, Programu javnih potreba u kulturi ostvareni su u iznosu od 83.488,12 eur ili 42,80 % plana, a odnose se na:</w:t>
      </w:r>
    </w:p>
    <w:p w14:paraId="4264F7C9" w14:textId="77777777" w:rsidR="008610F1" w:rsidRPr="008610F1" w:rsidRDefault="008610F1" w:rsidP="008610F1">
      <w:pPr>
        <w:spacing w:after="0" w:line="34" w:lineRule="exact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3682A3D3" w14:textId="77777777" w:rsidR="008610F1" w:rsidRPr="008610F1" w:rsidRDefault="008610F1" w:rsidP="008610F1">
      <w:pPr>
        <w:numPr>
          <w:ilvl w:val="0"/>
          <w:numId w:val="12"/>
        </w:numPr>
        <w:spacing w:after="0" w:line="240" w:lineRule="auto"/>
        <w:contextualSpacing/>
        <w:rPr>
          <w:rFonts w:ascii="Calibri" w:eastAsia="Times New Roman" w:hAnsi="Calibri" w:cs="Calibri"/>
          <w:lang w:val="en-US"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Tekuće donacije zdravstvenim neprofitnim organizacijama u iznosu od </w:t>
      </w:r>
      <w:r w:rsidRPr="008610F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4.763,74 eur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odnosi se na donaciju Crvenom križu;</w:t>
      </w:r>
    </w:p>
    <w:p w14:paraId="4CD3AC45" w14:textId="77777777" w:rsidR="008610F1" w:rsidRPr="008610F1" w:rsidRDefault="008610F1" w:rsidP="008610F1">
      <w:pPr>
        <w:spacing w:after="0" w:line="30" w:lineRule="exact"/>
        <w:rPr>
          <w:rFonts w:ascii="Symbol" w:eastAsia="Symbol" w:hAnsi="Symbol" w:cs="Symbol"/>
          <w:color w:val="FF0000"/>
          <w:sz w:val="24"/>
          <w:szCs w:val="24"/>
          <w:lang w:eastAsia="en-GB"/>
        </w:rPr>
      </w:pPr>
    </w:p>
    <w:p w14:paraId="6F84AC01" w14:textId="77777777" w:rsidR="008610F1" w:rsidRPr="008610F1" w:rsidRDefault="008610F1" w:rsidP="008610F1">
      <w:pPr>
        <w:numPr>
          <w:ilvl w:val="0"/>
          <w:numId w:val="7"/>
        </w:numPr>
        <w:tabs>
          <w:tab w:val="left" w:pos="720"/>
        </w:tabs>
        <w:spacing w:after="0" w:line="226" w:lineRule="auto"/>
        <w:ind w:hanging="364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Tekuće donacije udrugama i političkim strankama ostvarene su u iznosu od 12.523,40 eur, a odnose se na:</w:t>
      </w:r>
    </w:p>
    <w:p w14:paraId="4FC79381" w14:textId="77777777" w:rsidR="008610F1" w:rsidRPr="008610F1" w:rsidRDefault="008610F1" w:rsidP="008610F1">
      <w:pPr>
        <w:spacing w:after="0" w:line="15" w:lineRule="exact"/>
        <w:rPr>
          <w:rFonts w:ascii="Symbol" w:eastAsia="Symbol" w:hAnsi="Symbol" w:cs="Symbol"/>
          <w:sz w:val="24"/>
          <w:szCs w:val="24"/>
          <w:lang w:eastAsia="en-GB"/>
        </w:rPr>
      </w:pPr>
    </w:p>
    <w:p w14:paraId="3672A07E" w14:textId="77777777" w:rsidR="008610F1" w:rsidRPr="008610F1" w:rsidRDefault="008610F1" w:rsidP="008610F1">
      <w:pPr>
        <w:spacing w:after="0" w:line="15" w:lineRule="exact"/>
        <w:rPr>
          <w:rFonts w:ascii="Symbol" w:eastAsia="Symbol" w:hAnsi="Symbol" w:cs="Symbol"/>
          <w:sz w:val="24"/>
          <w:szCs w:val="24"/>
          <w:lang w:eastAsia="en-GB"/>
        </w:rPr>
      </w:pPr>
    </w:p>
    <w:p w14:paraId="6683D970" w14:textId="77777777" w:rsidR="008610F1" w:rsidRPr="008610F1" w:rsidRDefault="008610F1" w:rsidP="008610F1">
      <w:pPr>
        <w:spacing w:after="0" w:line="21" w:lineRule="exact"/>
        <w:rPr>
          <w:rFonts w:ascii="Wingdings" w:eastAsia="Wingdings" w:hAnsi="Wingdings" w:cs="Wingdings"/>
          <w:color w:val="FF0000"/>
          <w:sz w:val="30"/>
          <w:szCs w:val="30"/>
          <w:vertAlign w:val="superscript"/>
          <w:lang w:eastAsia="en-GB"/>
        </w:rPr>
      </w:pPr>
    </w:p>
    <w:p w14:paraId="6B398B75" w14:textId="77777777" w:rsidR="008610F1" w:rsidRPr="008610F1" w:rsidRDefault="008610F1" w:rsidP="008610F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Tekuća donacija političkim strankama 1.221,04 eur </w:t>
      </w:r>
    </w:p>
    <w:p w14:paraId="19A7E551" w14:textId="77777777" w:rsidR="008610F1" w:rsidRPr="008610F1" w:rsidRDefault="008610F1" w:rsidP="008610F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>DDK Privlaka 503,61 eur</w:t>
      </w:r>
    </w:p>
    <w:p w14:paraId="591517C9" w14:textId="77777777" w:rsidR="008610F1" w:rsidRPr="008610F1" w:rsidRDefault="008610F1" w:rsidP="008610F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>Tekuće donacije ostalim udrugama u iznosu od 10.298,75 eur:</w:t>
      </w:r>
    </w:p>
    <w:p w14:paraId="193E5F2D" w14:textId="2265104B" w:rsidR="008610F1" w:rsidRPr="008610F1" w:rsidRDefault="008610F1" w:rsidP="008610F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proofErr w:type="gramStart"/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Udruga </w:t>
      </w:r>
      <w:r w:rsidR="004F67B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</w:t>
      </w:r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>Šijavoga</w:t>
      </w:r>
      <w:proofErr w:type="gramEnd"/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 6.800,00 eur</w:t>
      </w:r>
    </w:p>
    <w:p w14:paraId="08D5FD12" w14:textId="77777777" w:rsidR="008610F1" w:rsidRPr="008610F1" w:rsidRDefault="008610F1" w:rsidP="008610F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lastRenderedPageBreak/>
        <w:t>Udruga specijalaca domovinskog rata - Poskoci 265,45 eur</w:t>
      </w:r>
    </w:p>
    <w:p w14:paraId="145A461A" w14:textId="159DFDF0" w:rsidR="008610F1" w:rsidRPr="008610F1" w:rsidRDefault="004F67B2" w:rsidP="008610F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en-GB"/>
        </w:rPr>
        <w:t>U</w:t>
      </w:r>
      <w:r w:rsidR="008610F1"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>druga</w:t>
      </w:r>
      <w:r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</w:t>
      </w:r>
      <w:r w:rsidR="008610F1"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mažoretkinja</w:t>
      </w:r>
      <w:proofErr w:type="gramEnd"/>
      <w:r w:rsidR="008610F1"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 200,00 eur</w:t>
      </w:r>
    </w:p>
    <w:p w14:paraId="66400D83" w14:textId="77777777" w:rsidR="008610F1" w:rsidRPr="008610F1" w:rsidRDefault="008610F1" w:rsidP="008610F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>Odbojkaški klub invalida 132,72 eur</w:t>
      </w:r>
    </w:p>
    <w:p w14:paraId="42535207" w14:textId="77777777" w:rsidR="008610F1" w:rsidRPr="008610F1" w:rsidRDefault="008610F1" w:rsidP="008610F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>Lovački savez 199,08 eur</w:t>
      </w:r>
    </w:p>
    <w:p w14:paraId="117E9E8D" w14:textId="77777777" w:rsidR="008610F1" w:rsidRPr="008610F1" w:rsidRDefault="008610F1" w:rsidP="008610F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>Karate klub Zvonimir 250,00 eur</w:t>
      </w:r>
    </w:p>
    <w:p w14:paraId="4195500E" w14:textId="12C05B8C" w:rsidR="008610F1" w:rsidRPr="008610F1" w:rsidRDefault="008610F1" w:rsidP="008610F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proofErr w:type="gramStart"/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KK </w:t>
      </w:r>
      <w:r w:rsidR="004F67B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</w:t>
      </w:r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>Privlaka</w:t>
      </w:r>
      <w:proofErr w:type="gramEnd"/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 1.788,50 eur</w:t>
      </w:r>
    </w:p>
    <w:p w14:paraId="182CF1D8" w14:textId="77777777" w:rsidR="008610F1" w:rsidRPr="008610F1" w:rsidRDefault="008610F1" w:rsidP="008610F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>KK Sabunjar 663,00 eur</w:t>
      </w:r>
    </w:p>
    <w:p w14:paraId="0F46AD42" w14:textId="77777777" w:rsidR="008610F1" w:rsidRPr="008610F1" w:rsidRDefault="008610F1" w:rsidP="008610F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>Boksački klub 500,00 eur</w:t>
      </w:r>
    </w:p>
    <w:p w14:paraId="257182E3" w14:textId="77777777" w:rsidR="008610F1" w:rsidRPr="008610F1" w:rsidRDefault="008610F1" w:rsidP="008610F1">
      <w:pPr>
        <w:spacing w:after="0" w:line="240" w:lineRule="auto"/>
        <w:rPr>
          <w:rFonts w:ascii="Wingdings" w:eastAsia="Wingdings" w:hAnsi="Wingdings" w:cs="Wingdings"/>
          <w:color w:val="FF0000"/>
          <w:sz w:val="30"/>
          <w:szCs w:val="30"/>
          <w:vertAlign w:val="superscript"/>
          <w:lang w:eastAsia="en-GB"/>
        </w:rPr>
      </w:pPr>
    </w:p>
    <w:p w14:paraId="0EB70400" w14:textId="77777777" w:rsidR="008610F1" w:rsidRPr="008610F1" w:rsidRDefault="008610F1" w:rsidP="008610F1">
      <w:pPr>
        <w:spacing w:after="0" w:line="40" w:lineRule="exact"/>
        <w:rPr>
          <w:rFonts w:ascii="Wingdings" w:eastAsia="Wingdings" w:hAnsi="Wingdings" w:cs="Wingdings"/>
          <w:color w:val="FF0000"/>
          <w:sz w:val="30"/>
          <w:szCs w:val="30"/>
          <w:vertAlign w:val="superscript"/>
          <w:lang w:eastAsia="en-GB"/>
        </w:rPr>
      </w:pPr>
    </w:p>
    <w:p w14:paraId="1E213D0F" w14:textId="77777777" w:rsidR="008610F1" w:rsidRPr="008610F1" w:rsidRDefault="008610F1" w:rsidP="008610F1">
      <w:pPr>
        <w:numPr>
          <w:ilvl w:val="0"/>
          <w:numId w:val="7"/>
        </w:numPr>
        <w:tabs>
          <w:tab w:val="left" w:pos="720"/>
        </w:tabs>
        <w:spacing w:after="0" w:line="207" w:lineRule="auto"/>
        <w:ind w:hanging="364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Tekuće donacije sportskim društvima u iznosu od 42.639,02 eur</w:t>
      </w:r>
    </w:p>
    <w:p w14:paraId="7C301FBE" w14:textId="77777777" w:rsidR="008610F1" w:rsidRPr="008610F1" w:rsidRDefault="008610F1" w:rsidP="008610F1">
      <w:pPr>
        <w:numPr>
          <w:ilvl w:val="0"/>
          <w:numId w:val="8"/>
        </w:numPr>
        <w:tabs>
          <w:tab w:val="left" w:pos="1440"/>
        </w:tabs>
        <w:spacing w:after="0" w:line="222" w:lineRule="auto"/>
        <w:ind w:left="1440" w:hanging="363"/>
        <w:rPr>
          <w:rFonts w:ascii="Courier New" w:eastAsia="Courier New" w:hAnsi="Courier New" w:cs="Courier New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NK Sabunjar 32.080,00 eur</w:t>
      </w:r>
    </w:p>
    <w:p w14:paraId="5D3EBE2C" w14:textId="77777777" w:rsidR="008610F1" w:rsidRPr="008610F1" w:rsidRDefault="008610F1" w:rsidP="008610F1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B128B74" w14:textId="77777777" w:rsidR="008610F1" w:rsidRPr="008610F1" w:rsidRDefault="008610F1" w:rsidP="008610F1">
      <w:pPr>
        <w:tabs>
          <w:tab w:val="left" w:pos="1440"/>
        </w:tabs>
        <w:spacing w:after="0" w:line="217" w:lineRule="auto"/>
        <w:ind w:left="1080" w:right="4220"/>
        <w:rPr>
          <w:rFonts w:ascii="Courier New" w:eastAsia="Courier New" w:hAnsi="Courier New" w:cs="Courier New"/>
          <w:color w:val="FF0000"/>
          <w:sz w:val="24"/>
          <w:szCs w:val="24"/>
          <w:lang w:eastAsia="en-GB"/>
        </w:rPr>
      </w:pPr>
      <w:r w:rsidRPr="008610F1">
        <w:rPr>
          <w:rFonts w:ascii="Courier New" w:eastAsia="Courier New" w:hAnsi="Courier New" w:cs="Courier New"/>
          <w:sz w:val="24"/>
          <w:szCs w:val="24"/>
          <w:lang w:eastAsia="en-GB"/>
        </w:rPr>
        <w:t xml:space="preserve">o </w:t>
      </w:r>
      <w:r w:rsidRPr="008610F1">
        <w:rPr>
          <w:rFonts w:ascii="Courier New" w:eastAsia="Courier New" w:hAnsi="Courier New" w:cs="Courier New"/>
          <w:sz w:val="24"/>
          <w:szCs w:val="24"/>
          <w:lang w:eastAsia="en-GB"/>
        </w:rPr>
        <w:tab/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MNK Privlaka 1.990,00 eur</w:t>
      </w:r>
    </w:p>
    <w:p w14:paraId="217CC971" w14:textId="77777777" w:rsidR="008610F1" w:rsidRPr="008610F1" w:rsidRDefault="008610F1" w:rsidP="008610F1">
      <w:pPr>
        <w:spacing w:after="0" w:line="1" w:lineRule="exact"/>
        <w:rPr>
          <w:rFonts w:ascii="Courier New" w:eastAsia="Courier New" w:hAnsi="Courier New" w:cs="Courier New"/>
          <w:color w:val="FF0000"/>
          <w:sz w:val="24"/>
          <w:szCs w:val="24"/>
          <w:lang w:eastAsia="en-GB"/>
        </w:rPr>
      </w:pPr>
    </w:p>
    <w:p w14:paraId="4B48C7E5" w14:textId="77777777" w:rsidR="008610F1" w:rsidRPr="008610F1" w:rsidRDefault="008610F1" w:rsidP="008610F1">
      <w:pPr>
        <w:numPr>
          <w:ilvl w:val="0"/>
          <w:numId w:val="13"/>
        </w:numPr>
        <w:spacing w:after="0" w:line="225" w:lineRule="auto"/>
        <w:contextualSpacing/>
        <w:rPr>
          <w:rFonts w:ascii="Courier New" w:eastAsia="Courier New" w:hAnsi="Courier New" w:cs="Courier New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KK Sabunjar 185,78 eur</w:t>
      </w:r>
    </w:p>
    <w:p w14:paraId="42297FD9" w14:textId="77777777" w:rsidR="008610F1" w:rsidRPr="008610F1" w:rsidRDefault="008610F1" w:rsidP="008610F1">
      <w:pPr>
        <w:numPr>
          <w:ilvl w:val="0"/>
          <w:numId w:val="13"/>
        </w:numPr>
        <w:spacing w:after="0" w:line="225" w:lineRule="auto"/>
        <w:contextualSpacing/>
        <w:rPr>
          <w:rFonts w:ascii="Courier New" w:eastAsia="Courier New" w:hAnsi="Courier New" w:cs="Courier New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Šahovski klub sv. Vid 5.490,84 eur</w:t>
      </w:r>
    </w:p>
    <w:p w14:paraId="4D1A71A3" w14:textId="77777777" w:rsidR="008610F1" w:rsidRPr="008610F1" w:rsidRDefault="008610F1" w:rsidP="008610F1">
      <w:pPr>
        <w:numPr>
          <w:ilvl w:val="0"/>
          <w:numId w:val="13"/>
        </w:numPr>
        <w:spacing w:after="0" w:line="225" w:lineRule="auto"/>
        <w:contextualSpacing/>
        <w:rPr>
          <w:rFonts w:ascii="Courier New" w:eastAsia="Courier New" w:hAnsi="Courier New" w:cs="Courier New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KK Privlaka 636,96 eur</w:t>
      </w:r>
    </w:p>
    <w:p w14:paraId="0A8650D6" w14:textId="77777777" w:rsidR="008610F1" w:rsidRPr="008610F1" w:rsidRDefault="008610F1" w:rsidP="008610F1">
      <w:pPr>
        <w:numPr>
          <w:ilvl w:val="0"/>
          <w:numId w:val="13"/>
        </w:numPr>
        <w:spacing w:after="0" w:line="225" w:lineRule="auto"/>
        <w:contextualSpacing/>
        <w:rPr>
          <w:rFonts w:ascii="Courier New" w:eastAsia="Courier New" w:hAnsi="Courier New" w:cs="Courier New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DSR Tintilinić 1.990,00 eur</w:t>
      </w:r>
    </w:p>
    <w:p w14:paraId="5DD7D451" w14:textId="77777777" w:rsidR="008610F1" w:rsidRPr="008610F1" w:rsidRDefault="008610F1" w:rsidP="008610F1">
      <w:pPr>
        <w:numPr>
          <w:ilvl w:val="0"/>
          <w:numId w:val="13"/>
        </w:numPr>
        <w:spacing w:after="0" w:line="225" w:lineRule="auto"/>
        <w:contextualSpacing/>
        <w:rPr>
          <w:rFonts w:ascii="Courier New" w:eastAsia="Courier New" w:hAnsi="Courier New" w:cs="Courier New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KK Zadar 265,44 eur</w:t>
      </w:r>
    </w:p>
    <w:p w14:paraId="3BF91891" w14:textId="77777777" w:rsidR="008610F1" w:rsidRPr="008610F1" w:rsidRDefault="008610F1" w:rsidP="008610F1">
      <w:pPr>
        <w:spacing w:after="0" w:line="25" w:lineRule="exact"/>
        <w:rPr>
          <w:rFonts w:ascii="Wingdings" w:eastAsia="Wingdings" w:hAnsi="Wingdings" w:cs="Wingdings"/>
          <w:color w:val="FF0000"/>
          <w:sz w:val="30"/>
          <w:szCs w:val="30"/>
          <w:vertAlign w:val="superscript"/>
          <w:lang w:eastAsia="en-GB"/>
        </w:rPr>
      </w:pPr>
    </w:p>
    <w:p w14:paraId="5E305727" w14:textId="77777777" w:rsidR="008610F1" w:rsidRPr="008610F1" w:rsidRDefault="008610F1" w:rsidP="008610F1">
      <w:pPr>
        <w:spacing w:after="0" w:line="45" w:lineRule="exact"/>
        <w:rPr>
          <w:rFonts w:ascii="Wingdings" w:eastAsia="Wingdings" w:hAnsi="Wingdings" w:cs="Wingdings"/>
          <w:color w:val="FF0000"/>
          <w:sz w:val="30"/>
          <w:szCs w:val="30"/>
          <w:vertAlign w:val="superscript"/>
          <w:lang w:eastAsia="en-GB"/>
        </w:rPr>
      </w:pPr>
    </w:p>
    <w:p w14:paraId="7F8C6342" w14:textId="77777777" w:rsidR="008610F1" w:rsidRPr="008610F1" w:rsidRDefault="008610F1" w:rsidP="008610F1">
      <w:pPr>
        <w:spacing w:after="0" w:line="45" w:lineRule="exact"/>
        <w:rPr>
          <w:rFonts w:ascii="Wingdings" w:eastAsia="Wingdings" w:hAnsi="Wingdings" w:cs="Wingdings"/>
          <w:color w:val="FF0000"/>
          <w:sz w:val="30"/>
          <w:szCs w:val="30"/>
          <w:vertAlign w:val="superscript"/>
          <w:lang w:eastAsia="en-GB"/>
        </w:rPr>
      </w:pPr>
    </w:p>
    <w:p w14:paraId="47C8D0FD" w14:textId="77777777" w:rsidR="008610F1" w:rsidRPr="008610F1" w:rsidRDefault="008610F1" w:rsidP="008610F1">
      <w:pPr>
        <w:numPr>
          <w:ilvl w:val="0"/>
          <w:numId w:val="9"/>
        </w:numPr>
        <w:tabs>
          <w:tab w:val="left" w:pos="720"/>
        </w:tabs>
        <w:spacing w:after="0" w:line="207" w:lineRule="auto"/>
        <w:jc w:val="both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Ostale tekuće donacije u iznosu od 23.561,96 eur:</w:t>
      </w:r>
    </w:p>
    <w:p w14:paraId="7E06570B" w14:textId="77777777" w:rsidR="008610F1" w:rsidRPr="008610F1" w:rsidRDefault="008610F1" w:rsidP="008610F1">
      <w:pPr>
        <w:numPr>
          <w:ilvl w:val="0"/>
          <w:numId w:val="14"/>
        </w:numPr>
        <w:tabs>
          <w:tab w:val="left" w:pos="720"/>
        </w:tabs>
        <w:spacing w:after="0" w:line="207" w:lineRule="auto"/>
        <w:contextualSpacing/>
        <w:jc w:val="both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Symbol" w:hAnsi="Times New Roman" w:cs="Times New Roman"/>
          <w:sz w:val="24"/>
          <w:szCs w:val="24"/>
          <w:lang w:eastAsia="en-GB"/>
        </w:rPr>
        <w:t>DVD Privlaka 23.296,51 eur</w:t>
      </w:r>
    </w:p>
    <w:p w14:paraId="544638BB" w14:textId="77777777" w:rsidR="008610F1" w:rsidRPr="008610F1" w:rsidRDefault="008610F1" w:rsidP="008610F1">
      <w:pPr>
        <w:numPr>
          <w:ilvl w:val="0"/>
          <w:numId w:val="14"/>
        </w:numPr>
        <w:tabs>
          <w:tab w:val="left" w:pos="720"/>
        </w:tabs>
        <w:spacing w:after="0" w:line="207" w:lineRule="auto"/>
        <w:contextualSpacing/>
        <w:jc w:val="both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Symbol" w:hAnsi="Times New Roman" w:cs="Times New Roman"/>
          <w:sz w:val="24"/>
          <w:szCs w:val="24"/>
          <w:lang w:eastAsia="en-GB"/>
        </w:rPr>
        <w:t>Gimnazija Vladimira Nazora 2650,45 eur</w:t>
      </w:r>
    </w:p>
    <w:p w14:paraId="24FB41F7" w14:textId="77777777" w:rsidR="008610F1" w:rsidRPr="008610F1" w:rsidRDefault="008610F1" w:rsidP="008610F1">
      <w:pPr>
        <w:spacing w:after="0" w:line="235" w:lineRule="auto"/>
        <w:ind w:right="20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561E6703" w14:textId="77777777" w:rsidR="008610F1" w:rsidRPr="008610F1" w:rsidRDefault="008610F1" w:rsidP="008610F1">
      <w:pPr>
        <w:spacing w:after="0" w:line="237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Kapitalne pomoći ostvarene su u iznosu od 240.247,15 eur od planiranih 479.617,39 eur ili 50,09 % a odnose se na kapitalnu pomoć u projektu izgradnje kanalizacijske mreže i uređaja za pročišćavanje otpadnih voda u iznosu od 228.198,23 eur, te na kapitalnu pomoć TD Liburnija d.o.o. u iznosu od 12.048,92 eur za kupnju novih autobusa.</w:t>
      </w:r>
    </w:p>
    <w:p w14:paraId="6762C676" w14:textId="77777777" w:rsidR="008610F1" w:rsidRPr="008610F1" w:rsidRDefault="008610F1" w:rsidP="008610F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60FEB87" w14:textId="35335E6D" w:rsidR="008610F1" w:rsidRPr="008610F1" w:rsidRDefault="008610F1" w:rsidP="008610F1">
      <w:pPr>
        <w:spacing w:after="0" w:line="200" w:lineRule="exact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3BCB8A96" w14:textId="77777777" w:rsidR="008610F1" w:rsidRPr="008610F1" w:rsidRDefault="008610F1" w:rsidP="008610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RASHODI POSLOVANJA PROGRAMA PREDŠKOLSKOG OBRAZOVANJA</w:t>
      </w:r>
    </w:p>
    <w:p w14:paraId="0A906F97" w14:textId="77777777" w:rsidR="008610F1" w:rsidRPr="008610F1" w:rsidRDefault="008610F1" w:rsidP="008610F1">
      <w:pPr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14:paraId="6215B830" w14:textId="174EB6A1" w:rsidR="008610F1" w:rsidRPr="008610F1" w:rsidRDefault="008610F1" w:rsidP="008610F1">
      <w:pPr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Rashodi poslovanja za program predškolskog obrazovanja u iznosu od 104.342,87 eur prikazani su u financijskom izvještaju Općine Privlaka na kontu 367- prijenosi proračunskim korisnicima za financiranje rashoda poslovanja. </w:t>
      </w:r>
      <w:proofErr w:type="gramStart"/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r w:rsidRPr="00861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prvim</w:t>
      </w:r>
      <w:proofErr w:type="gramEnd"/>
      <w:r w:rsidRPr="00861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izmjenama i dopunama proračuna općine Privlaka za 2023. godi</w:t>
      </w:r>
      <w:r w:rsidR="004F6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nu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iskazuju se po ekonomskoj klasifikaciji odnosno prikazuju se kao:</w:t>
      </w:r>
    </w:p>
    <w:p w14:paraId="7647FC73" w14:textId="77777777" w:rsidR="008610F1" w:rsidRPr="008610F1" w:rsidRDefault="008610F1" w:rsidP="008610F1">
      <w:pPr>
        <w:spacing w:after="0" w:line="16" w:lineRule="exact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42ACC103" w14:textId="77777777" w:rsidR="008610F1" w:rsidRPr="008610F1" w:rsidRDefault="008610F1" w:rsidP="008610F1">
      <w:pPr>
        <w:spacing w:after="0" w:line="3" w:lineRule="exact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78756608" w14:textId="77777777" w:rsidR="008610F1" w:rsidRPr="008610F1" w:rsidRDefault="008610F1" w:rsidP="008610F1">
      <w:pPr>
        <w:spacing w:after="0" w:line="3" w:lineRule="exact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4AD827DB" w14:textId="77777777" w:rsidR="008610F1" w:rsidRPr="008610F1" w:rsidRDefault="008610F1" w:rsidP="008610F1">
      <w:pPr>
        <w:numPr>
          <w:ilvl w:val="0"/>
          <w:numId w:val="10"/>
        </w:numPr>
        <w:tabs>
          <w:tab w:val="left" w:pos="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konto podskupine 311 - plaće za redovan rad u iznosu od 87.452,53 eur</w:t>
      </w:r>
    </w:p>
    <w:p w14:paraId="617DEC93" w14:textId="77777777" w:rsidR="008610F1" w:rsidRPr="008610F1" w:rsidRDefault="008610F1" w:rsidP="008610F1">
      <w:pPr>
        <w:numPr>
          <w:ilvl w:val="0"/>
          <w:numId w:val="10"/>
        </w:numPr>
        <w:tabs>
          <w:tab w:val="left" w:pos="244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konto podskupine 313 - doprinose na plaće u iznosu od 14.429,62 eur</w:t>
      </w:r>
    </w:p>
    <w:p w14:paraId="36E9B272" w14:textId="77777777" w:rsidR="008610F1" w:rsidRPr="008610F1" w:rsidRDefault="008610F1" w:rsidP="008610F1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6FA099" w14:textId="77777777" w:rsidR="008610F1" w:rsidRPr="008610F1" w:rsidRDefault="008610F1" w:rsidP="008610F1">
      <w:pPr>
        <w:numPr>
          <w:ilvl w:val="0"/>
          <w:numId w:val="10"/>
        </w:numPr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konto podskupine 321 – naknade tr. zaposlenima u iznosu 2.460,72 eur</w:t>
      </w:r>
    </w:p>
    <w:p w14:paraId="5B70D79C" w14:textId="77777777" w:rsidR="008610F1" w:rsidRPr="008610F1" w:rsidRDefault="008610F1" w:rsidP="008610F1">
      <w:pPr>
        <w:spacing w:after="0" w:line="360" w:lineRule="exact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130C6732" w14:textId="77777777" w:rsidR="008610F1" w:rsidRPr="008610F1" w:rsidRDefault="008610F1" w:rsidP="00861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DDFB5BD" w14:textId="77777777" w:rsidR="008610F1" w:rsidRPr="008610F1" w:rsidRDefault="008610F1" w:rsidP="008610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RASHODI POSLOVANJA DJEČJEG VRTIĆA SABUNIĆ</w:t>
      </w:r>
    </w:p>
    <w:p w14:paraId="6A4C05EC" w14:textId="77777777" w:rsidR="008610F1" w:rsidRPr="008610F1" w:rsidRDefault="008610F1" w:rsidP="008610F1">
      <w:pPr>
        <w:spacing w:after="0" w:line="28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018C2F04" w14:textId="21714984" w:rsidR="008610F1" w:rsidRPr="008610F1" w:rsidRDefault="008610F1" w:rsidP="008610F1">
      <w:pPr>
        <w:spacing w:after="0" w:line="233" w:lineRule="auto"/>
        <w:ind w:right="560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Rashodi poslovanja Dječjeg vrtića Sabunić koji se konsolidiraju ostvareni su u iznosu od 31.273,74 eur</w:t>
      </w:r>
      <w:r w:rsidR="004F67B2">
        <w:rPr>
          <w:rFonts w:ascii="Times New Roman" w:eastAsia="Times New Roman" w:hAnsi="Times New Roman" w:cs="Times New Roman"/>
          <w:sz w:val="24"/>
          <w:szCs w:val="24"/>
          <w:lang w:eastAsia="en-GB"/>
        </w:rPr>
        <w:t>a,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odnose se </w:t>
      </w:r>
      <w:proofErr w:type="gramStart"/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na :</w:t>
      </w:r>
      <w:proofErr w:type="gramEnd"/>
    </w:p>
    <w:p w14:paraId="79F45EBA" w14:textId="77777777" w:rsidR="008610F1" w:rsidRPr="008610F1" w:rsidRDefault="008610F1" w:rsidP="008610F1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EE30134" w14:textId="77777777" w:rsidR="008610F1" w:rsidRPr="008610F1" w:rsidRDefault="008610F1" w:rsidP="008610F1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5B20207" w14:textId="77777777" w:rsidR="008610F1" w:rsidRPr="008610F1" w:rsidRDefault="008610F1" w:rsidP="008610F1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904B417" w14:textId="77777777" w:rsidR="008610F1" w:rsidRPr="008610F1" w:rsidRDefault="008610F1" w:rsidP="008610F1">
      <w:pPr>
        <w:pStyle w:val="Odlomakpopisa"/>
        <w:numPr>
          <w:ilvl w:val="0"/>
          <w:numId w:val="16"/>
        </w:numPr>
        <w:tabs>
          <w:tab w:val="left" w:pos="724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Symbol" w:hAnsi="Times New Roman" w:cs="Times New Roman"/>
          <w:sz w:val="24"/>
          <w:szCs w:val="24"/>
          <w:lang w:eastAsia="en-GB"/>
        </w:rPr>
        <w:t>Plaće 5.883,28 eur</w:t>
      </w:r>
    </w:p>
    <w:p w14:paraId="347D9F43" w14:textId="121E22D3" w:rsidR="008610F1" w:rsidRPr="008610F1" w:rsidRDefault="008610F1" w:rsidP="008610F1">
      <w:pPr>
        <w:pStyle w:val="Odlomakpopisa"/>
        <w:numPr>
          <w:ilvl w:val="0"/>
          <w:numId w:val="16"/>
        </w:numPr>
        <w:tabs>
          <w:tab w:val="left" w:pos="724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Symbol" w:hAnsi="Times New Roman" w:cs="Times New Roman"/>
          <w:sz w:val="24"/>
          <w:szCs w:val="24"/>
          <w:lang w:eastAsia="en-GB"/>
        </w:rPr>
        <w:t>Doprinosi na place 970,73 eur</w:t>
      </w:r>
      <w:r w:rsidR="004F67B2">
        <w:rPr>
          <w:rFonts w:ascii="Times New Roman" w:eastAsia="Symbol" w:hAnsi="Times New Roman" w:cs="Times New Roman"/>
          <w:sz w:val="24"/>
          <w:szCs w:val="24"/>
          <w:lang w:eastAsia="en-GB"/>
        </w:rPr>
        <w:t>a</w:t>
      </w:r>
    </w:p>
    <w:p w14:paraId="52539D10" w14:textId="77777777" w:rsidR="008610F1" w:rsidRPr="008610F1" w:rsidRDefault="008610F1" w:rsidP="008610F1">
      <w:pPr>
        <w:pStyle w:val="Odlomakpopisa"/>
        <w:numPr>
          <w:ilvl w:val="0"/>
          <w:numId w:val="16"/>
        </w:numPr>
        <w:tabs>
          <w:tab w:val="left" w:pos="724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Naknade troškova zaposlenima (službena putovanja, stručna usavršavanja) u iznosu od</w:t>
      </w:r>
    </w:p>
    <w:p w14:paraId="6CBD52D7" w14:textId="292AB246" w:rsidR="008610F1" w:rsidRPr="008610F1" w:rsidRDefault="008610F1" w:rsidP="008610F1">
      <w:pPr>
        <w:pStyle w:val="Odlomakpopisa"/>
        <w:spacing w:after="0" w:line="238" w:lineRule="auto"/>
        <w:jc w:val="both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340,91 eur</w:t>
      </w:r>
      <w:r w:rsidR="004F67B2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</w:p>
    <w:p w14:paraId="361FEEC1" w14:textId="77777777" w:rsidR="008610F1" w:rsidRPr="008610F1" w:rsidRDefault="008610F1" w:rsidP="008610F1">
      <w:pPr>
        <w:spacing w:after="0" w:line="3" w:lineRule="exact"/>
        <w:jc w:val="both"/>
        <w:rPr>
          <w:rFonts w:ascii="Symbol" w:eastAsia="Symbol" w:hAnsi="Symbol" w:cs="Symbol"/>
          <w:sz w:val="24"/>
          <w:szCs w:val="24"/>
          <w:lang w:eastAsia="en-GB"/>
        </w:rPr>
      </w:pPr>
    </w:p>
    <w:p w14:paraId="02172447" w14:textId="6605F50E" w:rsidR="008610F1" w:rsidRPr="008610F1" w:rsidRDefault="008610F1" w:rsidP="008610F1">
      <w:pPr>
        <w:pStyle w:val="Odlomakpopisa"/>
        <w:numPr>
          <w:ilvl w:val="0"/>
          <w:numId w:val="16"/>
        </w:numPr>
        <w:tabs>
          <w:tab w:val="left" w:pos="724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Rashodi za materijal i energiju u iznosu od 16.162,00 eur</w:t>
      </w:r>
      <w:r w:rsidR="004F67B2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</w:p>
    <w:p w14:paraId="4CD77A2E" w14:textId="77777777" w:rsidR="008610F1" w:rsidRPr="008610F1" w:rsidRDefault="008610F1" w:rsidP="008610F1">
      <w:pPr>
        <w:spacing w:after="0" w:line="29" w:lineRule="exact"/>
        <w:jc w:val="both"/>
        <w:rPr>
          <w:rFonts w:ascii="Symbol" w:eastAsia="Symbol" w:hAnsi="Symbol" w:cs="Symbol"/>
          <w:sz w:val="24"/>
          <w:szCs w:val="24"/>
          <w:lang w:eastAsia="en-GB"/>
        </w:rPr>
      </w:pPr>
    </w:p>
    <w:p w14:paraId="01770E02" w14:textId="0D96FAD2" w:rsidR="008610F1" w:rsidRPr="008610F1" w:rsidRDefault="008610F1" w:rsidP="008610F1">
      <w:pPr>
        <w:pStyle w:val="Odlomakpopisa"/>
        <w:numPr>
          <w:ilvl w:val="0"/>
          <w:numId w:val="16"/>
        </w:numPr>
        <w:tabs>
          <w:tab w:val="left" w:pos="724"/>
        </w:tabs>
        <w:spacing w:after="0" w:line="226" w:lineRule="auto"/>
        <w:ind w:right="20"/>
        <w:jc w:val="both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Rashodi za usluge (telefona, pošte, komunalne usluge, zdravstvene, labaratorijske, intelektualne te računalne usluge) u iznosu od 6.415,62 eur</w:t>
      </w:r>
      <w:r w:rsidR="004F67B2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</w:p>
    <w:p w14:paraId="4F611E4B" w14:textId="77777777" w:rsidR="008610F1" w:rsidRPr="008610F1" w:rsidRDefault="008610F1" w:rsidP="008610F1">
      <w:pPr>
        <w:spacing w:after="0" w:line="29" w:lineRule="exact"/>
        <w:jc w:val="both"/>
        <w:rPr>
          <w:rFonts w:ascii="Symbol" w:eastAsia="Symbol" w:hAnsi="Symbol" w:cs="Symbol"/>
          <w:sz w:val="24"/>
          <w:szCs w:val="24"/>
          <w:lang w:eastAsia="en-GB"/>
        </w:rPr>
      </w:pPr>
    </w:p>
    <w:p w14:paraId="5BD40C98" w14:textId="742110DE" w:rsidR="008610F1" w:rsidRPr="008610F1" w:rsidRDefault="008610F1" w:rsidP="008610F1">
      <w:pPr>
        <w:pStyle w:val="Odlomakpopisa"/>
        <w:numPr>
          <w:ilvl w:val="0"/>
          <w:numId w:val="16"/>
        </w:numPr>
        <w:tabs>
          <w:tab w:val="left" w:pos="724"/>
        </w:tabs>
        <w:spacing w:after="0" w:line="226" w:lineRule="auto"/>
        <w:ind w:right="20"/>
        <w:jc w:val="both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Ostali nespomenuti rashodi u iznosu od 1.279,71 eur</w:t>
      </w:r>
      <w:r w:rsidR="004F67B2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</w:p>
    <w:p w14:paraId="70F4175B" w14:textId="77777777" w:rsidR="008610F1" w:rsidRPr="008610F1" w:rsidRDefault="008610F1" w:rsidP="008610F1">
      <w:pPr>
        <w:spacing w:after="0" w:line="4" w:lineRule="exact"/>
        <w:jc w:val="both"/>
        <w:rPr>
          <w:rFonts w:ascii="Symbol" w:eastAsia="Symbol" w:hAnsi="Symbol" w:cs="Symbol"/>
          <w:sz w:val="24"/>
          <w:szCs w:val="24"/>
          <w:lang w:eastAsia="en-GB"/>
        </w:rPr>
      </w:pPr>
    </w:p>
    <w:p w14:paraId="5F30ECBA" w14:textId="6074F9F5" w:rsidR="008610F1" w:rsidRPr="008610F1" w:rsidRDefault="008610F1" w:rsidP="008610F1">
      <w:pPr>
        <w:pStyle w:val="Odlomakpopisa"/>
        <w:numPr>
          <w:ilvl w:val="0"/>
          <w:numId w:val="16"/>
        </w:numPr>
        <w:tabs>
          <w:tab w:val="left" w:pos="724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Financijski rashodi u iznosu od 221,49 eur</w:t>
      </w:r>
      <w:r w:rsidR="004F67B2">
        <w:rPr>
          <w:rFonts w:ascii="Times New Roman" w:eastAsia="Times New Roman" w:hAnsi="Times New Roman" w:cs="Times New Roman"/>
          <w:sz w:val="24"/>
          <w:szCs w:val="24"/>
          <w:lang w:eastAsia="en-GB"/>
        </w:rPr>
        <w:t>a.</w:t>
      </w:r>
    </w:p>
    <w:p w14:paraId="72F68059" w14:textId="77777777" w:rsidR="008610F1" w:rsidRPr="008610F1" w:rsidRDefault="008610F1" w:rsidP="008610F1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75A6BBEF" w14:textId="77777777" w:rsidR="008610F1" w:rsidRPr="008610F1" w:rsidRDefault="008610F1" w:rsidP="008610F1">
      <w:pPr>
        <w:spacing w:after="0" w:line="354" w:lineRule="exact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1884A55B" w14:textId="77777777" w:rsidR="008610F1" w:rsidRPr="008610F1" w:rsidRDefault="008610F1" w:rsidP="008610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3.2. RASHODI ZA NABAVKU NEFINANCIJSKE IMOVINE OPĆINE</w:t>
      </w:r>
    </w:p>
    <w:p w14:paraId="33C84C55" w14:textId="77777777" w:rsidR="008610F1" w:rsidRPr="008610F1" w:rsidRDefault="008610F1" w:rsidP="008610F1">
      <w:pPr>
        <w:spacing w:after="0" w:line="28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6251C2B" w14:textId="02A61402" w:rsidR="008610F1" w:rsidRPr="008610F1" w:rsidRDefault="008610F1" w:rsidP="008610F1">
      <w:pPr>
        <w:spacing w:after="0" w:line="233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Rashodi za nabavu nefinancijske imovine </w:t>
      </w:r>
      <w:r w:rsidRPr="00861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su prvim izmjenama i dopunama proračuna za 2023. godinu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planirani u iznosu od 1.766.886,60 eur, a ostvareni su u iznosu od 631.827,24 eur ili 35,76 %. U odnosu na prethodno razdoblje ostvareni su u iznosu manjem za 439.425,40 eur najvećim dijelom zbog izgradnje i opremanja dječjeg vrtića Sabunić. Ovi rashodi dijele se na rashode za nabavu neproizvedene dugotrajne imovine, rashode za naba</w:t>
      </w:r>
      <w:r w:rsidR="004F67B2"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u proizvedene dugotrajne imovine (građevinski objekti, postrojenja i oprema, knjige, nematerijalna proizvedena imova te dodatna ulaganja na nefinancijskoj imovini.</w:t>
      </w:r>
    </w:p>
    <w:p w14:paraId="78B65571" w14:textId="77777777" w:rsidR="008610F1" w:rsidRPr="008610F1" w:rsidRDefault="008610F1" w:rsidP="008610F1">
      <w:pPr>
        <w:spacing w:after="0" w:line="283" w:lineRule="exact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05F8B642" w14:textId="77777777" w:rsidR="008610F1" w:rsidRPr="008610F1" w:rsidRDefault="008610F1" w:rsidP="008610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Rashodi za nabavu neproizvedene dugotrajne imovine</w:t>
      </w:r>
    </w:p>
    <w:p w14:paraId="3174AC2A" w14:textId="77777777" w:rsidR="008610F1" w:rsidRPr="008610F1" w:rsidRDefault="008610F1" w:rsidP="008610F1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63FD84D9" w14:textId="656A7514" w:rsidR="008610F1" w:rsidRPr="008610F1" w:rsidRDefault="008610F1" w:rsidP="008610F1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Rashodi za nabavu neproizvedene dugotrajne imovine planirani su</w:t>
      </w:r>
      <w:r w:rsidRPr="00861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prvim izmjenam</w:t>
      </w:r>
      <w:r w:rsidR="004F6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a i dopunama proračuna za </w:t>
      </w:r>
      <w:proofErr w:type="gramStart"/>
      <w:r w:rsidR="004F6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2023.</w:t>
      </w:r>
      <w:r w:rsidRPr="00861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godinu 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proofErr w:type="gramEnd"/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iznosu od 141.528,00 eur, a realizirani su u iznosu od 22.077,93 eur ili 15,60 % plana te u naravi predstavljaju nabavu zemljišta. Manja realizacija u odnosu na plan je zbog neriješenih imovinsko pravnih odnosa realizacija kojih se očekuje u drugom polugodištu 2023. </w:t>
      </w:r>
      <w:r w:rsidR="004F67B2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odine.</w:t>
      </w:r>
    </w:p>
    <w:p w14:paraId="0FDE5E83" w14:textId="77777777" w:rsidR="008610F1" w:rsidRPr="008610F1" w:rsidRDefault="008610F1" w:rsidP="008610F1">
      <w:pPr>
        <w:spacing w:after="0" w:line="285" w:lineRule="exact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60DC8DB9" w14:textId="77777777" w:rsidR="008610F1" w:rsidRPr="008610F1" w:rsidRDefault="008610F1" w:rsidP="008610F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Rashodi za nabavu proizvedene dugotrajne imovine</w:t>
      </w:r>
    </w:p>
    <w:p w14:paraId="0835CCA6" w14:textId="77777777" w:rsidR="008610F1" w:rsidRPr="008610F1" w:rsidRDefault="008610F1" w:rsidP="008610F1">
      <w:pPr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14:paraId="12F8B900" w14:textId="4EDA05A7" w:rsidR="008610F1" w:rsidRPr="008610F1" w:rsidRDefault="008610F1" w:rsidP="008610F1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Rashodi za nabavu proizvedene dugotrajne imovine </w:t>
      </w:r>
      <w:r w:rsidRPr="00861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su prvim izmjenama i dopu</w:t>
      </w:r>
      <w:r w:rsidR="004F6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nama proračuna za 2023. godinu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planirani u iznosu od 1.572.269,60 eur, a ostvareni su u iznosu od 609.749,31 eur ili 38,78 % plana. Ovi rashodi obuhvaćaju nabavu poslovnih objekata i ostalih građevinskih objekata, postorojenja i opreme, prijevoznog sredstva, te nabavu nematerijalne imovine. Detaljniji pregled daje se u nastavku:</w:t>
      </w:r>
    </w:p>
    <w:p w14:paraId="6ADDED6B" w14:textId="77777777" w:rsidR="008610F1" w:rsidRPr="008610F1" w:rsidRDefault="008610F1" w:rsidP="008610F1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EA1975" w14:textId="60B8ABC8" w:rsidR="008610F1" w:rsidRPr="008610F1" w:rsidRDefault="008610F1" w:rsidP="008610F1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Građevinski objekti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rashodi kojih su prvim izmjenama i dopunama proračuna za 2023. godinu planirani u iznosu od 1.194.581,24</w:t>
      </w:r>
      <w:r w:rsidR="004F67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 a izvršeni su u iznosu od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524.918,91 eur</w:t>
      </w:r>
      <w:r w:rsidR="004F67B2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odnosno 43,94 % plana. U odnosu na prethodno razdoblje izvršeni su u manjem iznosu za 419.396,93 eur zbog troškova na izgradnji i opremanju zgrade dječjeg vrtića. Navedeni rashodi odnose se na izgradnju I opremanje dječjeg vrtića u iznosu od 416.686,24 eur, te na Sanaciju pokasa na plaži Sabunike u iznosu od 108.232,67 eur.</w:t>
      </w:r>
    </w:p>
    <w:p w14:paraId="55DF7372" w14:textId="77777777" w:rsidR="008610F1" w:rsidRPr="008610F1" w:rsidRDefault="008610F1" w:rsidP="008610F1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5CC35D" w14:textId="14864801" w:rsidR="008610F1" w:rsidRPr="008610F1" w:rsidRDefault="008610F1" w:rsidP="008610F1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Rashodi za nabavu postrojenja i opreme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 prvim izmjenama i dopunama proračuna planirani u iznosu od 103.984,36 eur</w:t>
      </w:r>
      <w:r w:rsidR="000E4E9A">
        <w:rPr>
          <w:rFonts w:ascii="Times New Roman" w:eastAsia="Times New Roman" w:hAnsi="Times New Roman" w:cs="Times New Roman"/>
          <w:sz w:val="24"/>
          <w:szCs w:val="24"/>
          <w:lang w:eastAsia="en-GB"/>
        </w:rPr>
        <w:t>a,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izvršeni su u iznosu od 31.540,46 eur odnosno 30,33 %</w:t>
      </w:r>
      <w:r w:rsidR="000E4E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plana. Od ostvarene realizacije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ulaganja u uredsku opremu i namještaj otpada 1.795,73 eur, komunikacijsku opremu 3.880,29 eur</w:t>
      </w:r>
      <w:r w:rsidR="00CE1397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, opremu za održavanje I zaštitu 1.029,26 eur, uređaji, strojevi i oprema za ostale namjene 24.835,18 eur</w:t>
      </w:r>
      <w:r w:rsidR="00CE1397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9BFB6A8" w14:textId="77777777" w:rsidR="008610F1" w:rsidRPr="008610F1" w:rsidRDefault="008610F1" w:rsidP="008610F1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CF05D9" w14:textId="4F486AEA" w:rsidR="008610F1" w:rsidRPr="008610F1" w:rsidRDefault="008610F1" w:rsidP="008610F1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Prijevozna sredstva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rashodi koji se odnose na nabavu osobnog automobila planirani su u iznosu od 28.935,00 eur</w:t>
      </w:r>
      <w:r w:rsidR="00CE1397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 su izvršeni u iznosu od 28.933,57 eur</w:t>
      </w:r>
      <w:r w:rsidR="00CE1397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odnosno 100% plana.</w:t>
      </w:r>
    </w:p>
    <w:p w14:paraId="2320463A" w14:textId="77777777" w:rsidR="008610F1" w:rsidRPr="008610F1" w:rsidRDefault="008610F1" w:rsidP="008610F1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32E43B" w14:textId="4FC19564" w:rsidR="008610F1" w:rsidRPr="008610F1" w:rsidRDefault="008610F1" w:rsidP="008610F1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Knjige, umjetnička djela i ostale izložbene vrijednosti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</w:t>
      </w:r>
      <w:r w:rsidR="00CE13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irane su u iznosu od 664,00 eura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te se u ovom izvještajnom razdoblju nisu se realizirali.</w:t>
      </w:r>
    </w:p>
    <w:p w14:paraId="436A7803" w14:textId="77777777" w:rsidR="008610F1" w:rsidRPr="008610F1" w:rsidRDefault="008610F1" w:rsidP="008610F1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8AD6FD" w14:textId="77777777" w:rsidR="008610F1" w:rsidRPr="008610F1" w:rsidRDefault="008610F1" w:rsidP="008610F1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Ulaganja u računalne programe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prvim izmjenamam i dopunama proračuna za 2023. godinu</w:t>
      </w: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u iznosu od 1.632,00 eur a u ovom izvještajnom razdoblju nisu se realizirali.</w:t>
      </w:r>
    </w:p>
    <w:p w14:paraId="7766A82F" w14:textId="77777777" w:rsidR="008610F1" w:rsidRPr="008610F1" w:rsidRDefault="008610F1" w:rsidP="008610F1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4F1214" w14:textId="77777777" w:rsidR="008610F1" w:rsidRPr="008610F1" w:rsidRDefault="008610F1" w:rsidP="008610F1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Rashodi za nabavu nematerijalne proizvedenu imovine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</w:t>
      </w: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prvim izmjenamam i dopunama proračuna za 2023. godinu</w:t>
      </w: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planirani u iznos od 244.105,00 eur, a realizirano je 24.356,37 eur ili 9,98 %. U najvećoj mjeri odnose se na rashode za izradu projektnih dokumentacija realizacija kojih se očekuje u drugom polugodištu 2023. godine (projekt šetnice Mletak, glavni projekt lučice Loznica, projektno – tehnička dokumentacija Luke Selo, glavni projekt rekonstrukcije javne rasvjete, glavni projekt izgradnje dječjeg igrališta “Batalaža”, projektno – tehnička dok. centra “Privlački Sabunjari”) i prostornih planova (IV. Izmjene i dopune prostornog plana Općine, izrada UPU Batalaža), te na ulaganja u računalne programa.</w:t>
      </w:r>
    </w:p>
    <w:p w14:paraId="4C755E9C" w14:textId="77777777" w:rsidR="008610F1" w:rsidRPr="008610F1" w:rsidRDefault="008610F1" w:rsidP="008610F1">
      <w:pPr>
        <w:spacing w:after="0" w:line="25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14:paraId="4DBB5C3D" w14:textId="77777777" w:rsidR="008610F1" w:rsidRPr="008610F1" w:rsidRDefault="008610F1" w:rsidP="008610F1">
      <w:pPr>
        <w:spacing w:after="0" w:line="25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8610F1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>Rashodi za dodatna ulaganja na nefinancijskoj imovini</w:t>
      </w:r>
      <w:r w:rsidRPr="008610F1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planirani su u iznosu od 13.272,00 eur, a predstavljaju ulaganja u modernizaciju nerazvrstanih cesta te se u ovom izvještajnom razdoblju nisu realizirali.</w:t>
      </w:r>
    </w:p>
    <w:p w14:paraId="27CE7AA3" w14:textId="77777777" w:rsidR="008610F1" w:rsidRPr="008610F1" w:rsidRDefault="008610F1" w:rsidP="008610F1">
      <w:pPr>
        <w:spacing w:after="0" w:line="273" w:lineRule="exact"/>
        <w:rPr>
          <w:rFonts w:ascii="Times New Roman" w:eastAsiaTheme="minorEastAsia" w:hAnsi="Times New Roman" w:cs="Times New Roman"/>
          <w:color w:val="FF0000"/>
          <w:sz w:val="20"/>
          <w:szCs w:val="20"/>
          <w:lang w:eastAsia="en-GB"/>
        </w:rPr>
      </w:pPr>
    </w:p>
    <w:p w14:paraId="374376F6" w14:textId="77777777" w:rsidR="008610F1" w:rsidRPr="008610F1" w:rsidRDefault="008610F1" w:rsidP="008610F1">
      <w:pPr>
        <w:spacing w:after="0" w:line="240" w:lineRule="auto"/>
        <w:ind w:right="16"/>
        <w:jc w:val="center"/>
        <w:rPr>
          <w:rFonts w:ascii="Calibri" w:eastAsia="Calibri" w:hAnsi="Calibri" w:cs="Calibri"/>
          <w:color w:val="FF0000"/>
          <w:lang w:eastAsia="en-GB"/>
        </w:rPr>
      </w:pPr>
    </w:p>
    <w:p w14:paraId="32379A9A" w14:textId="77777777" w:rsidR="008610F1" w:rsidRPr="008610F1" w:rsidRDefault="008610F1" w:rsidP="008610F1">
      <w:pPr>
        <w:spacing w:after="0" w:line="233" w:lineRule="auto"/>
        <w:ind w:right="540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RASHODI ZA NABAVU NEFINANCIJSKE IMOVINE</w:t>
      </w:r>
      <w:r w:rsidRPr="008610F1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DJEČJEG</w:t>
      </w:r>
      <w:r w:rsidRPr="008610F1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008610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VRTIĆA</w:t>
      </w:r>
    </w:p>
    <w:p w14:paraId="1A32DA9E" w14:textId="77777777" w:rsidR="008610F1" w:rsidRPr="008610F1" w:rsidRDefault="008610F1" w:rsidP="008610F1">
      <w:pPr>
        <w:spacing w:after="0" w:line="285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BF99C9E" w14:textId="77777777" w:rsidR="008610F1" w:rsidRPr="008610F1" w:rsidRDefault="008610F1" w:rsidP="008610F1">
      <w:pPr>
        <w:spacing w:after="0" w:line="235" w:lineRule="auto"/>
        <w:ind w:right="100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8610F1">
        <w:rPr>
          <w:rFonts w:ascii="Times New Roman" w:eastAsia="Times New Roman" w:hAnsi="Times New Roman" w:cs="Times New Roman"/>
          <w:sz w:val="24"/>
          <w:szCs w:val="24"/>
          <w:lang w:eastAsia="en-GB"/>
        </w:rPr>
        <w:t>Rashoda za nabavu nefinancijske imovine proračunskog korisnika Dječjeg vrtića planirani su u iznosu od 1.852,00 eur, a u ovom izvještajnom razdoblju nisu se realizirali.</w:t>
      </w:r>
    </w:p>
    <w:p w14:paraId="21FA1C3D" w14:textId="77777777" w:rsidR="008610F1" w:rsidRPr="008610F1" w:rsidRDefault="008610F1" w:rsidP="008610F1">
      <w:pPr>
        <w:spacing w:after="0" w:line="240" w:lineRule="auto"/>
        <w:ind w:right="16"/>
        <w:rPr>
          <w:rFonts w:ascii="Calibri" w:eastAsia="Calibri" w:hAnsi="Calibri" w:cs="Calibri"/>
          <w:color w:val="FF0000"/>
          <w:lang w:eastAsia="en-GB"/>
        </w:rPr>
      </w:pPr>
    </w:p>
    <w:p w14:paraId="131A048A" w14:textId="77777777" w:rsidR="008610F1" w:rsidRPr="008610F1" w:rsidRDefault="008610F1" w:rsidP="008610F1">
      <w:pPr>
        <w:spacing w:after="0" w:line="240" w:lineRule="auto"/>
        <w:ind w:right="16"/>
        <w:rPr>
          <w:rFonts w:ascii="Calibri" w:eastAsia="Calibri" w:hAnsi="Calibri" w:cs="Calibri"/>
          <w:color w:val="FF0000"/>
          <w:lang w:eastAsia="en-GB"/>
        </w:rPr>
      </w:pPr>
    </w:p>
    <w:p w14:paraId="682CD455" w14:textId="77777777" w:rsidR="008610F1" w:rsidRPr="008610F1" w:rsidRDefault="008610F1" w:rsidP="008610F1">
      <w:pPr>
        <w:spacing w:after="0" w:line="240" w:lineRule="auto"/>
        <w:ind w:right="16"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8610F1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3.3. IZDACI</w:t>
      </w:r>
    </w:p>
    <w:p w14:paraId="1ADAB58B" w14:textId="77777777" w:rsidR="008610F1" w:rsidRPr="008610F1" w:rsidRDefault="008610F1" w:rsidP="008610F1">
      <w:pPr>
        <w:spacing w:after="0" w:line="240" w:lineRule="auto"/>
        <w:ind w:right="16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p w14:paraId="53736837" w14:textId="1C3B28B7" w:rsidR="008610F1" w:rsidRPr="008610F1" w:rsidRDefault="008610F1" w:rsidP="008610F1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8610F1">
        <w:rPr>
          <w:rFonts w:ascii="Times New Roman" w:hAnsi="Times New Roman" w:cs="Times New Roman"/>
          <w:sz w:val="24"/>
          <w:szCs w:val="24"/>
        </w:rPr>
        <w:t>Izdaci su prvim izmjenama i dopunama proračuna za 2023. godinu planirani u iznosu od 338.502,84 EUR, a realizirani su u iznosu od 267.369,38 eur ili 78,99 % plana. Realizirana sredstva odnose se na dokapitalizaciju OKD Artić u iznosu od 199.000,00 eur, zatim na otplatu glavnice po kreditu za izgrad</w:t>
      </w:r>
      <w:r w:rsidR="00327BDC">
        <w:rPr>
          <w:rFonts w:ascii="Times New Roman" w:hAnsi="Times New Roman" w:cs="Times New Roman"/>
          <w:sz w:val="24"/>
          <w:szCs w:val="24"/>
        </w:rPr>
        <w:t xml:space="preserve">nju i opremanje Dječjeg vrtića </w:t>
      </w:r>
      <w:r w:rsidRPr="008610F1">
        <w:rPr>
          <w:rFonts w:ascii="Times New Roman" w:hAnsi="Times New Roman" w:cs="Times New Roman"/>
          <w:sz w:val="24"/>
          <w:szCs w:val="24"/>
        </w:rPr>
        <w:t>u iznosu od 68.310,54 eur, te na otplatu glavnice zajmova od državnog proračuna točnije na povrat poreza i prireza te</w:t>
      </w:r>
      <w:r w:rsidR="00327BDC">
        <w:rPr>
          <w:rFonts w:ascii="Times New Roman" w:hAnsi="Times New Roman" w:cs="Times New Roman"/>
          <w:sz w:val="24"/>
          <w:szCs w:val="24"/>
        </w:rPr>
        <w:t>meljem godišnjeg povrata za 2021</w:t>
      </w:r>
      <w:r w:rsidRPr="008610F1">
        <w:rPr>
          <w:rFonts w:ascii="Times New Roman" w:hAnsi="Times New Roman" w:cs="Times New Roman"/>
          <w:sz w:val="24"/>
          <w:szCs w:val="24"/>
        </w:rPr>
        <w:t xml:space="preserve">. </w:t>
      </w:r>
      <w:r w:rsidR="00327BDC">
        <w:rPr>
          <w:rFonts w:ascii="Times New Roman" w:hAnsi="Times New Roman" w:cs="Times New Roman"/>
          <w:sz w:val="24"/>
          <w:szCs w:val="24"/>
        </w:rPr>
        <w:t>g</w:t>
      </w:r>
      <w:r w:rsidRPr="008610F1">
        <w:rPr>
          <w:rFonts w:ascii="Times New Roman" w:hAnsi="Times New Roman" w:cs="Times New Roman"/>
          <w:sz w:val="24"/>
          <w:szCs w:val="24"/>
        </w:rPr>
        <w:t>odinu u iznosu od 58,84 eur</w:t>
      </w:r>
      <w:r w:rsidR="00327BDC">
        <w:rPr>
          <w:rFonts w:ascii="Times New Roman" w:hAnsi="Times New Roman" w:cs="Times New Roman"/>
          <w:sz w:val="24"/>
          <w:szCs w:val="24"/>
        </w:rPr>
        <w:t>a</w:t>
      </w:r>
      <w:r w:rsidRPr="008610F1">
        <w:rPr>
          <w:rFonts w:ascii="Times New Roman" w:hAnsi="Times New Roman" w:cs="Times New Roman"/>
          <w:sz w:val="24"/>
          <w:szCs w:val="24"/>
        </w:rPr>
        <w:t>. Izdaci u cijelosti pripadaju općini Privlaka.</w:t>
      </w:r>
    </w:p>
    <w:p w14:paraId="44F8EC34" w14:textId="77777777" w:rsidR="005A4856" w:rsidRDefault="005A4856" w:rsidP="005A485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8A5A70" w14:textId="77777777" w:rsidR="005A4856" w:rsidRDefault="005A4856" w:rsidP="005A485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</w:p>
    <w:p w14:paraId="02BC4279" w14:textId="77777777" w:rsidR="00EF2F0A" w:rsidRPr="00EF2F0A" w:rsidRDefault="00EF2F0A" w:rsidP="00EF2F0A">
      <w:pPr>
        <w:pStyle w:val="Odlomakpopisa"/>
        <w:widowControl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F2F0A">
        <w:rPr>
          <w:rFonts w:ascii="Times New Roman" w:eastAsia="Times New Roman" w:hAnsi="Times New Roman"/>
          <w:b/>
          <w:sz w:val="24"/>
          <w:szCs w:val="24"/>
          <w:lang w:eastAsia="hr-HR"/>
        </w:rPr>
        <w:t>4.VIŠAK/MANJAK U IZVJEŠTAJNOM RAZDOBLJU</w:t>
      </w:r>
    </w:p>
    <w:p w14:paraId="0B4ECFE3" w14:textId="77777777" w:rsidR="00EF2F0A" w:rsidRDefault="00EF2F0A" w:rsidP="00EF2F0A">
      <w:pPr>
        <w:pStyle w:val="Odlomakpopisa"/>
        <w:widowControl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89E638" w14:textId="7AF1B4F6" w:rsidR="00EF2F0A" w:rsidRDefault="00EF2F0A" w:rsidP="006D008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ovom izvještajnom razdoblju Općina Privlaka ostvarila je tekući manjak prihoda i primitaka nad rashodima i izdacima. Manjak iznosi </w:t>
      </w:r>
      <w:r w:rsidRPr="00EF2F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584.870,52 eura.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ovom rezultatu sadržan je rezultat Općine Privlaka iskazan kao proračunski rezultat i rezultat proračunskog korisnika Dječji vrtic Sabunić. Navedeno se iskazuje u tablici kako slijedi:</w:t>
      </w:r>
    </w:p>
    <w:p w14:paraId="6A51F05D" w14:textId="77777777" w:rsidR="00EF2F0A" w:rsidRPr="00EF2F0A" w:rsidRDefault="00EF2F0A" w:rsidP="00EF2F0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8"/>
        <w:gridCol w:w="1498"/>
        <w:gridCol w:w="1520"/>
        <w:gridCol w:w="1504"/>
        <w:gridCol w:w="1549"/>
        <w:gridCol w:w="1523"/>
      </w:tblGrid>
      <w:tr w:rsidR="00EF2F0A" w:rsidRPr="00EF2F0A" w14:paraId="297E42A7" w14:textId="77777777" w:rsidTr="00EF2F0A">
        <w:tc>
          <w:tcPr>
            <w:tcW w:w="1468" w:type="dxa"/>
          </w:tcPr>
          <w:p w14:paraId="647EFE45" w14:textId="77777777" w:rsidR="00EF2F0A" w:rsidRPr="00EF2F0A" w:rsidRDefault="00EF2F0A" w:rsidP="00514D9B">
            <w:pPr>
              <w:jc w:val="both"/>
              <w:rPr>
                <w:rFonts w:ascii="Times New Roman" w:hAnsi="Times New Roman"/>
                <w:i/>
              </w:rPr>
            </w:pPr>
            <w:r w:rsidRPr="00EF2F0A">
              <w:rPr>
                <w:rFonts w:ascii="Times New Roman" w:hAnsi="Times New Roman"/>
                <w:i/>
              </w:rPr>
              <w:t>Naziv</w:t>
            </w:r>
          </w:p>
        </w:tc>
        <w:tc>
          <w:tcPr>
            <w:tcW w:w="1498" w:type="dxa"/>
          </w:tcPr>
          <w:p w14:paraId="76ED78C7" w14:textId="77777777" w:rsidR="00EF2F0A" w:rsidRPr="00EF2F0A" w:rsidRDefault="00EF2F0A" w:rsidP="00514D9B">
            <w:pPr>
              <w:jc w:val="both"/>
              <w:rPr>
                <w:rFonts w:ascii="Times New Roman" w:hAnsi="Times New Roman"/>
                <w:i/>
              </w:rPr>
            </w:pPr>
            <w:r w:rsidRPr="00EF2F0A">
              <w:rPr>
                <w:rFonts w:ascii="Times New Roman" w:hAnsi="Times New Roman"/>
                <w:i/>
              </w:rPr>
              <w:t>Prihodi i primici</w:t>
            </w:r>
          </w:p>
        </w:tc>
        <w:tc>
          <w:tcPr>
            <w:tcW w:w="1520" w:type="dxa"/>
          </w:tcPr>
          <w:p w14:paraId="0F3F50B9" w14:textId="77777777" w:rsidR="00EF2F0A" w:rsidRPr="00EF2F0A" w:rsidRDefault="00EF2F0A" w:rsidP="00514D9B">
            <w:pPr>
              <w:jc w:val="both"/>
              <w:rPr>
                <w:rFonts w:ascii="Times New Roman" w:hAnsi="Times New Roman"/>
                <w:i/>
              </w:rPr>
            </w:pPr>
            <w:r w:rsidRPr="00EF2F0A">
              <w:rPr>
                <w:rFonts w:ascii="Times New Roman" w:hAnsi="Times New Roman"/>
                <w:i/>
              </w:rPr>
              <w:t>Rashodi i izdaci</w:t>
            </w:r>
          </w:p>
        </w:tc>
        <w:tc>
          <w:tcPr>
            <w:tcW w:w="1504" w:type="dxa"/>
          </w:tcPr>
          <w:p w14:paraId="0B088860" w14:textId="77777777" w:rsidR="00EF2F0A" w:rsidRPr="00EF2F0A" w:rsidRDefault="00EF2F0A" w:rsidP="00514D9B">
            <w:pPr>
              <w:jc w:val="both"/>
              <w:rPr>
                <w:rFonts w:ascii="Times New Roman" w:hAnsi="Times New Roman"/>
                <w:i/>
              </w:rPr>
            </w:pPr>
            <w:r w:rsidRPr="00EF2F0A">
              <w:rPr>
                <w:rFonts w:ascii="Times New Roman" w:hAnsi="Times New Roman"/>
                <w:i/>
              </w:rPr>
              <w:t>Rezultat</w:t>
            </w:r>
          </w:p>
        </w:tc>
        <w:tc>
          <w:tcPr>
            <w:tcW w:w="1549" w:type="dxa"/>
          </w:tcPr>
          <w:p w14:paraId="61648312" w14:textId="77777777" w:rsidR="00EF2F0A" w:rsidRPr="00EF2F0A" w:rsidRDefault="00EF2F0A" w:rsidP="00514D9B">
            <w:pPr>
              <w:jc w:val="both"/>
              <w:rPr>
                <w:rFonts w:ascii="Times New Roman" w:hAnsi="Times New Roman"/>
                <w:i/>
              </w:rPr>
            </w:pPr>
            <w:r w:rsidRPr="00EF2F0A">
              <w:rPr>
                <w:rFonts w:ascii="Times New Roman" w:hAnsi="Times New Roman"/>
                <w:i/>
              </w:rPr>
              <w:t>Preneseni rezultat</w:t>
            </w:r>
          </w:p>
        </w:tc>
        <w:tc>
          <w:tcPr>
            <w:tcW w:w="1523" w:type="dxa"/>
          </w:tcPr>
          <w:p w14:paraId="68052C38" w14:textId="77777777" w:rsidR="00EF2F0A" w:rsidRPr="00EF2F0A" w:rsidRDefault="00EF2F0A" w:rsidP="00514D9B">
            <w:pPr>
              <w:jc w:val="both"/>
              <w:rPr>
                <w:rFonts w:ascii="Times New Roman" w:hAnsi="Times New Roman"/>
                <w:i/>
              </w:rPr>
            </w:pPr>
            <w:r w:rsidRPr="00EF2F0A">
              <w:rPr>
                <w:rFonts w:ascii="Times New Roman" w:hAnsi="Times New Roman"/>
                <w:i/>
              </w:rPr>
              <w:t>Višak/manjak za prijenos u iduće razdoblje</w:t>
            </w:r>
          </w:p>
        </w:tc>
      </w:tr>
      <w:tr w:rsidR="00EF2F0A" w:rsidRPr="00EF2F0A" w14:paraId="02EF572F" w14:textId="77777777" w:rsidTr="00EF2F0A">
        <w:tc>
          <w:tcPr>
            <w:tcW w:w="1468" w:type="dxa"/>
          </w:tcPr>
          <w:p w14:paraId="6BCFC021" w14:textId="77777777" w:rsidR="00EF2F0A" w:rsidRPr="00EF2F0A" w:rsidRDefault="00EF2F0A" w:rsidP="00514D9B">
            <w:pPr>
              <w:jc w:val="both"/>
              <w:rPr>
                <w:rFonts w:ascii="Times New Roman" w:hAnsi="Times New Roman"/>
                <w:i/>
              </w:rPr>
            </w:pPr>
            <w:r w:rsidRPr="00EF2F0A">
              <w:rPr>
                <w:rFonts w:ascii="Times New Roman" w:hAnsi="Times New Roman"/>
                <w:i/>
              </w:rPr>
              <w:t>Općina Privlaka</w:t>
            </w:r>
          </w:p>
        </w:tc>
        <w:tc>
          <w:tcPr>
            <w:tcW w:w="1498" w:type="dxa"/>
          </w:tcPr>
          <w:p w14:paraId="1C0AAC6C" w14:textId="77777777" w:rsidR="00EF2F0A" w:rsidRPr="00EF2F0A" w:rsidRDefault="00EF2F0A" w:rsidP="00514D9B">
            <w:pPr>
              <w:jc w:val="right"/>
              <w:rPr>
                <w:rFonts w:ascii="Times New Roman" w:hAnsi="Times New Roman"/>
                <w:i/>
              </w:rPr>
            </w:pPr>
            <w:r w:rsidRPr="00EF2F0A">
              <w:rPr>
                <w:rFonts w:ascii="Times New Roman" w:hAnsi="Times New Roman"/>
                <w:i/>
              </w:rPr>
              <w:t>1.491.690,86</w:t>
            </w:r>
          </w:p>
        </w:tc>
        <w:tc>
          <w:tcPr>
            <w:tcW w:w="1520" w:type="dxa"/>
          </w:tcPr>
          <w:p w14:paraId="60857D94" w14:textId="77777777" w:rsidR="00EF2F0A" w:rsidRPr="00EF2F0A" w:rsidRDefault="00EF2F0A" w:rsidP="00514D9B">
            <w:pPr>
              <w:jc w:val="right"/>
              <w:rPr>
                <w:rFonts w:ascii="Times New Roman" w:hAnsi="Times New Roman"/>
                <w:i/>
              </w:rPr>
            </w:pPr>
            <w:r w:rsidRPr="00EF2F0A">
              <w:rPr>
                <w:rFonts w:ascii="Times New Roman" w:hAnsi="Times New Roman"/>
                <w:i/>
              </w:rPr>
              <w:t>2.062.115,44</w:t>
            </w:r>
          </w:p>
        </w:tc>
        <w:tc>
          <w:tcPr>
            <w:tcW w:w="1504" w:type="dxa"/>
          </w:tcPr>
          <w:p w14:paraId="7C2F8881" w14:textId="77777777" w:rsidR="00EF2F0A" w:rsidRPr="00EF2F0A" w:rsidRDefault="00EF2F0A" w:rsidP="00514D9B">
            <w:pPr>
              <w:jc w:val="right"/>
              <w:rPr>
                <w:rFonts w:ascii="Times New Roman" w:hAnsi="Times New Roman"/>
                <w:i/>
              </w:rPr>
            </w:pPr>
            <w:r w:rsidRPr="00EF2F0A">
              <w:rPr>
                <w:rFonts w:ascii="Times New Roman" w:hAnsi="Times New Roman"/>
                <w:i/>
              </w:rPr>
              <w:t>-570.424,58</w:t>
            </w:r>
          </w:p>
        </w:tc>
        <w:tc>
          <w:tcPr>
            <w:tcW w:w="1549" w:type="dxa"/>
          </w:tcPr>
          <w:p w14:paraId="4694B2BA" w14:textId="77777777" w:rsidR="00EF2F0A" w:rsidRPr="00EF2F0A" w:rsidRDefault="00AE23F7" w:rsidP="00514D9B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926.277,36</w:t>
            </w:r>
          </w:p>
        </w:tc>
        <w:tc>
          <w:tcPr>
            <w:tcW w:w="1523" w:type="dxa"/>
          </w:tcPr>
          <w:p w14:paraId="519958C5" w14:textId="77777777" w:rsidR="00EF2F0A" w:rsidRPr="00EF2F0A" w:rsidRDefault="00AE23F7" w:rsidP="00514D9B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355.852,78</w:t>
            </w:r>
          </w:p>
        </w:tc>
      </w:tr>
      <w:tr w:rsidR="00EF2F0A" w:rsidRPr="00EF2F0A" w14:paraId="613EB073" w14:textId="77777777" w:rsidTr="00EF2F0A">
        <w:tc>
          <w:tcPr>
            <w:tcW w:w="1468" w:type="dxa"/>
          </w:tcPr>
          <w:p w14:paraId="32F062D8" w14:textId="77777777" w:rsidR="00EF2F0A" w:rsidRPr="00EF2F0A" w:rsidRDefault="00EF2F0A" w:rsidP="00514D9B">
            <w:pPr>
              <w:jc w:val="both"/>
              <w:rPr>
                <w:rFonts w:ascii="Times New Roman" w:hAnsi="Times New Roman"/>
                <w:i/>
              </w:rPr>
            </w:pPr>
            <w:r w:rsidRPr="00EF2F0A">
              <w:rPr>
                <w:rFonts w:ascii="Times New Roman" w:hAnsi="Times New Roman"/>
                <w:i/>
              </w:rPr>
              <w:t>Dječji vrtić Sabunić</w:t>
            </w:r>
          </w:p>
        </w:tc>
        <w:tc>
          <w:tcPr>
            <w:tcW w:w="1498" w:type="dxa"/>
          </w:tcPr>
          <w:p w14:paraId="4B0CB7DC" w14:textId="77777777" w:rsidR="00EF2F0A" w:rsidRPr="00EF2F0A" w:rsidRDefault="00EF2F0A" w:rsidP="00514D9B">
            <w:pPr>
              <w:jc w:val="right"/>
              <w:rPr>
                <w:rFonts w:ascii="Times New Roman" w:hAnsi="Times New Roman"/>
                <w:i/>
              </w:rPr>
            </w:pPr>
            <w:r w:rsidRPr="00EF2F0A">
              <w:rPr>
                <w:rFonts w:ascii="Times New Roman" w:hAnsi="Times New Roman"/>
                <w:i/>
              </w:rPr>
              <w:t>121.170,67</w:t>
            </w:r>
          </w:p>
        </w:tc>
        <w:tc>
          <w:tcPr>
            <w:tcW w:w="1520" w:type="dxa"/>
          </w:tcPr>
          <w:p w14:paraId="41F65707" w14:textId="77777777" w:rsidR="00EF2F0A" w:rsidRPr="00EF2F0A" w:rsidRDefault="00EF2F0A" w:rsidP="00514D9B">
            <w:pPr>
              <w:jc w:val="right"/>
              <w:rPr>
                <w:rFonts w:ascii="Times New Roman" w:hAnsi="Times New Roman"/>
                <w:i/>
              </w:rPr>
            </w:pPr>
            <w:r w:rsidRPr="00EF2F0A">
              <w:rPr>
                <w:rFonts w:ascii="Times New Roman" w:hAnsi="Times New Roman"/>
                <w:i/>
              </w:rPr>
              <w:t>135.616,61</w:t>
            </w:r>
          </w:p>
        </w:tc>
        <w:tc>
          <w:tcPr>
            <w:tcW w:w="1504" w:type="dxa"/>
          </w:tcPr>
          <w:p w14:paraId="227574CC" w14:textId="77777777" w:rsidR="00EF2F0A" w:rsidRPr="00EF2F0A" w:rsidRDefault="00EF2F0A" w:rsidP="00514D9B">
            <w:pPr>
              <w:jc w:val="right"/>
              <w:rPr>
                <w:rFonts w:ascii="Times New Roman" w:hAnsi="Times New Roman"/>
                <w:i/>
              </w:rPr>
            </w:pPr>
            <w:r w:rsidRPr="00EF2F0A">
              <w:rPr>
                <w:rFonts w:ascii="Times New Roman" w:hAnsi="Times New Roman"/>
                <w:i/>
              </w:rPr>
              <w:t>-14.445,94</w:t>
            </w:r>
          </w:p>
        </w:tc>
        <w:tc>
          <w:tcPr>
            <w:tcW w:w="1549" w:type="dxa"/>
          </w:tcPr>
          <w:p w14:paraId="0F0E7401" w14:textId="77777777" w:rsidR="00EF2F0A" w:rsidRPr="00EF2F0A" w:rsidRDefault="00EF2F0A" w:rsidP="00514D9B">
            <w:pPr>
              <w:jc w:val="right"/>
              <w:rPr>
                <w:rFonts w:ascii="Times New Roman" w:hAnsi="Times New Roman"/>
                <w:i/>
              </w:rPr>
            </w:pPr>
            <w:r w:rsidRPr="00EF2F0A">
              <w:rPr>
                <w:rFonts w:ascii="Times New Roman" w:hAnsi="Times New Roman"/>
                <w:i/>
              </w:rPr>
              <w:t>18.669,82</w:t>
            </w:r>
          </w:p>
        </w:tc>
        <w:tc>
          <w:tcPr>
            <w:tcW w:w="1523" w:type="dxa"/>
          </w:tcPr>
          <w:p w14:paraId="3884FF30" w14:textId="77777777" w:rsidR="00EF2F0A" w:rsidRPr="00EF2F0A" w:rsidRDefault="00EF2F0A" w:rsidP="00514D9B">
            <w:pPr>
              <w:jc w:val="right"/>
              <w:rPr>
                <w:rFonts w:ascii="Times New Roman" w:hAnsi="Times New Roman"/>
                <w:i/>
              </w:rPr>
            </w:pPr>
            <w:r w:rsidRPr="00EF2F0A">
              <w:rPr>
                <w:rFonts w:ascii="Times New Roman" w:hAnsi="Times New Roman"/>
                <w:i/>
              </w:rPr>
              <w:t>4.223,88</w:t>
            </w:r>
          </w:p>
        </w:tc>
      </w:tr>
      <w:tr w:rsidR="00AE23F7" w:rsidRPr="00EF2F0A" w14:paraId="2F22F900" w14:textId="77777777" w:rsidTr="00EF2F0A">
        <w:tc>
          <w:tcPr>
            <w:tcW w:w="1468" w:type="dxa"/>
          </w:tcPr>
          <w:p w14:paraId="3D0407B7" w14:textId="77777777" w:rsidR="00AE23F7" w:rsidRPr="00EF2F0A" w:rsidRDefault="00AE23F7" w:rsidP="00514D9B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Eliminacija</w:t>
            </w:r>
          </w:p>
        </w:tc>
        <w:tc>
          <w:tcPr>
            <w:tcW w:w="1498" w:type="dxa"/>
          </w:tcPr>
          <w:p w14:paraId="5EA8CC73" w14:textId="77777777" w:rsidR="00AE23F7" w:rsidRPr="00EF2F0A" w:rsidRDefault="00AE23F7" w:rsidP="00514D9B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90.670,77</w:t>
            </w:r>
          </w:p>
        </w:tc>
        <w:tc>
          <w:tcPr>
            <w:tcW w:w="1520" w:type="dxa"/>
          </w:tcPr>
          <w:p w14:paraId="0CB830DF" w14:textId="77777777" w:rsidR="00AE23F7" w:rsidRPr="00EF2F0A" w:rsidRDefault="00AE23F7" w:rsidP="00514D9B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90.670,77</w:t>
            </w:r>
          </w:p>
        </w:tc>
        <w:tc>
          <w:tcPr>
            <w:tcW w:w="1504" w:type="dxa"/>
          </w:tcPr>
          <w:p w14:paraId="11378D5E" w14:textId="77777777" w:rsidR="00AE23F7" w:rsidRPr="00EF2F0A" w:rsidRDefault="00AE23F7" w:rsidP="00514D9B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0,00</w:t>
            </w:r>
          </w:p>
        </w:tc>
        <w:tc>
          <w:tcPr>
            <w:tcW w:w="1549" w:type="dxa"/>
          </w:tcPr>
          <w:p w14:paraId="1B370506" w14:textId="77777777" w:rsidR="00AE23F7" w:rsidRPr="00EF2F0A" w:rsidRDefault="00AE23F7" w:rsidP="00514D9B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0,00</w:t>
            </w:r>
          </w:p>
        </w:tc>
        <w:tc>
          <w:tcPr>
            <w:tcW w:w="1523" w:type="dxa"/>
          </w:tcPr>
          <w:p w14:paraId="28C881A9" w14:textId="77777777" w:rsidR="00AE23F7" w:rsidRPr="00EF2F0A" w:rsidRDefault="00AE23F7" w:rsidP="00514D9B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0,00</w:t>
            </w:r>
          </w:p>
        </w:tc>
      </w:tr>
      <w:tr w:rsidR="00EF2F0A" w:rsidRPr="00EF2F0A" w14:paraId="22C531B1" w14:textId="77777777" w:rsidTr="00EF2F0A">
        <w:tc>
          <w:tcPr>
            <w:tcW w:w="1468" w:type="dxa"/>
          </w:tcPr>
          <w:p w14:paraId="6BB74F36" w14:textId="77777777" w:rsidR="00EF2F0A" w:rsidRPr="00EF2F0A" w:rsidRDefault="00EF2F0A" w:rsidP="00514D9B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14:paraId="7266BF21" w14:textId="77777777" w:rsidR="00EF2F0A" w:rsidRPr="00EF2F0A" w:rsidRDefault="00EF2F0A" w:rsidP="00514D9B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F2F0A">
              <w:rPr>
                <w:rFonts w:ascii="Times New Roman" w:hAnsi="Times New Roman"/>
                <w:b/>
                <w:i/>
              </w:rPr>
              <w:t>Sveukupno</w:t>
            </w:r>
          </w:p>
        </w:tc>
        <w:tc>
          <w:tcPr>
            <w:tcW w:w="1498" w:type="dxa"/>
          </w:tcPr>
          <w:p w14:paraId="6ABF4035" w14:textId="77777777" w:rsidR="00EF2F0A" w:rsidRPr="00EF2F0A" w:rsidRDefault="00EF2F0A" w:rsidP="00514D9B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460F2EC2" w14:textId="77777777" w:rsidR="00EF2F0A" w:rsidRPr="00EF2F0A" w:rsidRDefault="00EF2F0A" w:rsidP="00514D9B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EF2F0A">
              <w:rPr>
                <w:rFonts w:ascii="Times New Roman" w:hAnsi="Times New Roman"/>
                <w:b/>
                <w:i/>
              </w:rPr>
              <w:t>1.522.190,76</w:t>
            </w:r>
          </w:p>
        </w:tc>
        <w:tc>
          <w:tcPr>
            <w:tcW w:w="1520" w:type="dxa"/>
          </w:tcPr>
          <w:p w14:paraId="4F81ABD5" w14:textId="77777777" w:rsidR="00EF2F0A" w:rsidRPr="00EF2F0A" w:rsidRDefault="00EF2F0A" w:rsidP="00514D9B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3CA9DEAC" w14:textId="77777777" w:rsidR="00EF2F0A" w:rsidRPr="00EF2F0A" w:rsidRDefault="00EF2F0A" w:rsidP="00514D9B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EF2F0A">
              <w:rPr>
                <w:rFonts w:ascii="Times New Roman" w:hAnsi="Times New Roman"/>
                <w:b/>
                <w:i/>
              </w:rPr>
              <w:t>2.107.061,28</w:t>
            </w:r>
          </w:p>
        </w:tc>
        <w:tc>
          <w:tcPr>
            <w:tcW w:w="1504" w:type="dxa"/>
          </w:tcPr>
          <w:p w14:paraId="5BD05396" w14:textId="77777777" w:rsidR="00EF2F0A" w:rsidRPr="00EF2F0A" w:rsidRDefault="00EF2F0A" w:rsidP="00514D9B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622378EF" w14:textId="77777777" w:rsidR="00EF2F0A" w:rsidRPr="00EF2F0A" w:rsidRDefault="00EF2F0A" w:rsidP="00514D9B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EF2F0A">
              <w:rPr>
                <w:rFonts w:ascii="Times New Roman" w:hAnsi="Times New Roman"/>
                <w:b/>
                <w:i/>
              </w:rPr>
              <w:t>-584.870,52</w:t>
            </w:r>
          </w:p>
        </w:tc>
        <w:tc>
          <w:tcPr>
            <w:tcW w:w="1549" w:type="dxa"/>
          </w:tcPr>
          <w:p w14:paraId="05E341B1" w14:textId="77777777" w:rsidR="00EF2F0A" w:rsidRPr="00EF2F0A" w:rsidRDefault="00EF2F0A" w:rsidP="00514D9B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7A5BE71C" w14:textId="77777777" w:rsidR="00EF2F0A" w:rsidRPr="00EF2F0A" w:rsidRDefault="00E3271E" w:rsidP="00514D9B">
            <w:pPr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944.947,18</w:t>
            </w:r>
          </w:p>
        </w:tc>
        <w:tc>
          <w:tcPr>
            <w:tcW w:w="1523" w:type="dxa"/>
          </w:tcPr>
          <w:p w14:paraId="32BE05C6" w14:textId="77777777" w:rsidR="00EF2F0A" w:rsidRPr="00EF2F0A" w:rsidRDefault="00EF2F0A" w:rsidP="00514D9B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3EF04649" w14:textId="77777777" w:rsidR="00EF2F0A" w:rsidRPr="00EF2F0A" w:rsidRDefault="00EF2F0A" w:rsidP="00E3271E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EF2F0A">
              <w:rPr>
                <w:rFonts w:ascii="Times New Roman" w:hAnsi="Times New Roman"/>
                <w:b/>
                <w:i/>
              </w:rPr>
              <w:t>360.</w:t>
            </w:r>
            <w:r w:rsidR="00E3271E">
              <w:rPr>
                <w:rFonts w:ascii="Times New Roman" w:hAnsi="Times New Roman"/>
                <w:b/>
                <w:i/>
              </w:rPr>
              <w:t>076,66</w:t>
            </w:r>
          </w:p>
        </w:tc>
      </w:tr>
    </w:tbl>
    <w:p w14:paraId="02101E9C" w14:textId="77777777" w:rsidR="00EF2F0A" w:rsidRDefault="00EF2F0A" w:rsidP="00EF2F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F72E8D7" w14:textId="77777777" w:rsidR="006D0083" w:rsidRDefault="006D0083" w:rsidP="006D008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kod Općine Privlaka i kod proračunskog korisnika DV Sabunić na iskazivanje manjka poslovanja u ovom izvještajnom razdoblju velikim dijelom utjecalo je korištenje viška prihoda iz prethodnih godina.</w:t>
      </w:r>
    </w:p>
    <w:p w14:paraId="365B535B" w14:textId="77777777" w:rsidR="006D0083" w:rsidRDefault="006D0083" w:rsidP="006D008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Ukupni prihodi općinski proračun………1.491.690,86 eura</w:t>
      </w:r>
    </w:p>
    <w:p w14:paraId="68998CF8" w14:textId="77777777" w:rsidR="006D0083" w:rsidRDefault="006D0083" w:rsidP="006D008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+korištenje viška iz prethodih godina…...   350.249,95 eura</w:t>
      </w:r>
    </w:p>
    <w:p w14:paraId="65C1E7CC" w14:textId="77777777" w:rsidR="006D0083" w:rsidRPr="00EF2F0A" w:rsidRDefault="006D0083" w:rsidP="006D008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-rashodi I izdaci………………………….</w:t>
      </w:r>
      <w:r w:rsidRPr="006D0083">
        <w:rPr>
          <w:rFonts w:ascii="Times New Roman" w:hAnsi="Times New Roman"/>
          <w:sz w:val="24"/>
          <w:szCs w:val="24"/>
        </w:rPr>
        <w:t>2.062.115,44 eura</w:t>
      </w:r>
    </w:p>
    <w:p w14:paraId="5AE677EA" w14:textId="77777777" w:rsidR="00EF2F0A" w:rsidRDefault="006D0083" w:rsidP="006D008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Ukupno rezultat………………………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r-HR"/>
        </w:rPr>
        <w:t>….-</w:t>
      </w:r>
      <w:proofErr w:type="gramEnd"/>
      <w:r>
        <w:rPr>
          <w:rFonts w:ascii="Times New Roman" w:eastAsia="Times New Roman" w:hAnsi="Times New Roman"/>
          <w:sz w:val="24"/>
          <w:szCs w:val="24"/>
          <w:lang w:eastAsia="hr-HR"/>
        </w:rPr>
        <w:t>220.174,63 eura</w:t>
      </w:r>
    </w:p>
    <w:p w14:paraId="5693410B" w14:textId="77777777" w:rsidR="006D0083" w:rsidRDefault="006D0083" w:rsidP="006D008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+ostatak od viška prihoda (neutrošeno)….576.027,41 eura</w:t>
      </w:r>
    </w:p>
    <w:p w14:paraId="6A33388E" w14:textId="28A150D2" w:rsidR="006D0083" w:rsidRDefault="006D0083" w:rsidP="006D008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Razlika 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r-HR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r-HR"/>
        </w:rPr>
        <w:t>35</w:t>
      </w:r>
      <w:r w:rsidR="004C603C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.852,78 eura.</w:t>
      </w:r>
    </w:p>
    <w:p w14:paraId="4A0D9F90" w14:textId="77777777" w:rsidR="006D0083" w:rsidRDefault="006D0083" w:rsidP="006D008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7AF3A72" w14:textId="77777777" w:rsidR="006D0083" w:rsidRDefault="006D0083" w:rsidP="006D008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Ukupni prihodi DV Sabunić……………....121.170,6</w:t>
      </w:r>
      <w:r w:rsidR="00943C1D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eura</w:t>
      </w:r>
    </w:p>
    <w:p w14:paraId="6861E6CD" w14:textId="77777777" w:rsidR="006D0083" w:rsidRDefault="006D0083" w:rsidP="006D008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+korištenje viška prihoda iz prethodne god….8.983,29 eura</w:t>
      </w:r>
    </w:p>
    <w:p w14:paraId="0EE039F1" w14:textId="77777777" w:rsidR="006D0083" w:rsidRDefault="006D0083" w:rsidP="006D008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-rashodi…………………………………….135.616,61 eura</w:t>
      </w:r>
    </w:p>
    <w:p w14:paraId="4B1B8281" w14:textId="77777777" w:rsidR="006D0083" w:rsidRDefault="006D0083" w:rsidP="006D008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Ukupno rezultat…………………………</w:t>
      </w:r>
      <w:r w:rsidR="00943C1D">
        <w:rPr>
          <w:rFonts w:ascii="Times New Roman" w:eastAsia="Times New Roman" w:hAnsi="Times New Roman"/>
          <w:sz w:val="24"/>
          <w:szCs w:val="24"/>
          <w:lang w:eastAsia="hr-HR"/>
        </w:rPr>
        <w:t>...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…-5.462,64 eura</w:t>
      </w:r>
    </w:p>
    <w:p w14:paraId="796A724A" w14:textId="77777777" w:rsidR="006D0083" w:rsidRDefault="006D0083" w:rsidP="006D008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+ostatak od viška prihoda(neutrošeno)……</w:t>
      </w:r>
      <w:proofErr w:type="gramStart"/>
      <w:r w:rsidR="00943C1D">
        <w:rPr>
          <w:rFonts w:ascii="Times New Roman" w:eastAsia="Times New Roman" w:hAnsi="Times New Roman"/>
          <w:sz w:val="24"/>
          <w:szCs w:val="24"/>
          <w:lang w:eastAsia="hr-HR"/>
        </w:rPr>
        <w:t>....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proofErr w:type="gramEnd"/>
      <w:r w:rsidR="00943C1D">
        <w:rPr>
          <w:rFonts w:ascii="Times New Roman" w:eastAsia="Times New Roman" w:hAnsi="Times New Roman"/>
          <w:sz w:val="24"/>
          <w:szCs w:val="24"/>
          <w:lang w:eastAsia="hr-HR"/>
        </w:rPr>
        <w:t>9.686,53 eura</w:t>
      </w:r>
    </w:p>
    <w:p w14:paraId="03AF8283" w14:textId="2D99221B" w:rsidR="00943C1D" w:rsidRPr="006D0083" w:rsidRDefault="00943C1D" w:rsidP="006D008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Razlika……………………………………</w:t>
      </w:r>
      <w:r w:rsidR="004C603C">
        <w:rPr>
          <w:rFonts w:ascii="Times New Roman" w:eastAsia="Times New Roman" w:hAnsi="Times New Roman"/>
          <w:sz w:val="24"/>
          <w:szCs w:val="24"/>
          <w:lang w:eastAsia="hr-HR"/>
        </w:rPr>
        <w:t xml:space="preserve">     4.223,88 eura.</w:t>
      </w:r>
    </w:p>
    <w:p w14:paraId="7F2E985A" w14:textId="77777777" w:rsidR="00EF2F0A" w:rsidRPr="00EF2F0A" w:rsidRDefault="00EF2F0A" w:rsidP="00EF2F0A">
      <w:pPr>
        <w:pStyle w:val="Odlomakpopisa"/>
        <w:widowControl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DCCB8D1" w14:textId="0DBF133B" w:rsidR="00EF2F0A" w:rsidRDefault="00EF2F0A" w:rsidP="005A485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DAE7D2" w14:textId="77777777" w:rsidR="005A4856" w:rsidRDefault="005A4856" w:rsidP="005A4856">
      <w:pPr>
        <w:pStyle w:val="Odlomakpopisa"/>
        <w:widowControl w:val="0"/>
        <w:numPr>
          <w:ilvl w:val="0"/>
          <w:numId w:val="3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A485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POSEBNI IZVJEŠTAJI </w:t>
      </w:r>
    </w:p>
    <w:p w14:paraId="45FC181D" w14:textId="77777777" w:rsidR="00F12DE2" w:rsidRPr="00F12DE2" w:rsidRDefault="00F12DE2" w:rsidP="00F12DE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335EC8C" w14:textId="77777777" w:rsidR="00F12DE2" w:rsidRDefault="00F12DE2" w:rsidP="00F12DE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2DE2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ako je već u uvodnom dijelu navedeno u ovom izvještajnom razdoblju kao posebni izvještaji </w:t>
      </w:r>
    </w:p>
    <w:p w14:paraId="76C0A9CC" w14:textId="77777777" w:rsidR="00F12DE2" w:rsidRDefault="00F12DE2" w:rsidP="00F12D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sastavljaju se </w:t>
      </w:r>
      <w:r>
        <w:rPr>
          <w:rFonts w:ascii="Times New Roman" w:hAnsi="Times New Roman" w:cs="Times New Roman"/>
          <w:sz w:val="24"/>
          <w:szCs w:val="24"/>
        </w:rPr>
        <w:t xml:space="preserve">izvještaj o </w:t>
      </w:r>
      <w:r w:rsidRPr="00F74138">
        <w:rPr>
          <w:rFonts w:ascii="Times New Roman" w:hAnsi="Times New Roman" w:cs="Times New Roman"/>
          <w:sz w:val="24"/>
          <w:szCs w:val="24"/>
        </w:rPr>
        <w:t>korištenju proračunske zalihe, izvještaj o zaduživanju na do</w:t>
      </w:r>
      <w:r>
        <w:rPr>
          <w:rFonts w:ascii="Times New Roman" w:hAnsi="Times New Roman" w:cs="Times New Roman"/>
          <w:sz w:val="24"/>
          <w:szCs w:val="24"/>
        </w:rPr>
        <w:t xml:space="preserve">maćem i stranom tržištu novca i </w:t>
      </w:r>
      <w:r w:rsidRPr="00F74138">
        <w:rPr>
          <w:rFonts w:ascii="Times New Roman" w:hAnsi="Times New Roman" w:cs="Times New Roman"/>
          <w:sz w:val="24"/>
          <w:szCs w:val="24"/>
        </w:rPr>
        <w:t xml:space="preserve">kapitala </w:t>
      </w:r>
      <w:proofErr w:type="gramStart"/>
      <w:r w:rsidRPr="00F7413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138">
        <w:rPr>
          <w:rFonts w:ascii="Times New Roman" w:hAnsi="Times New Roman" w:cs="Times New Roman"/>
          <w:sz w:val="24"/>
          <w:szCs w:val="24"/>
        </w:rPr>
        <w:t>izvještaj</w:t>
      </w:r>
      <w:proofErr w:type="gramEnd"/>
      <w:r w:rsidRPr="00F74138">
        <w:rPr>
          <w:rFonts w:ascii="Times New Roman" w:hAnsi="Times New Roman" w:cs="Times New Roman"/>
          <w:sz w:val="24"/>
          <w:szCs w:val="24"/>
        </w:rPr>
        <w:t xml:space="preserve"> o danim jamstvima i plaćanjima po protestiranim jamstvima.</w:t>
      </w:r>
    </w:p>
    <w:p w14:paraId="583EE986" w14:textId="77777777" w:rsidR="00212F32" w:rsidRDefault="00212F32" w:rsidP="00212F32">
      <w:pPr>
        <w:pStyle w:val="Odlomakpopisa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F32">
        <w:rPr>
          <w:rFonts w:ascii="Times New Roman" w:hAnsi="Times New Roman" w:cs="Times New Roman"/>
          <w:sz w:val="24"/>
          <w:szCs w:val="24"/>
          <w:u w:val="single"/>
        </w:rPr>
        <w:t>Izvještaj o korištenju proračunske zalihe</w:t>
      </w:r>
    </w:p>
    <w:p w14:paraId="0091A19C" w14:textId="77777777" w:rsidR="00EF2F0A" w:rsidRPr="005A4856" w:rsidRDefault="00EF2F0A" w:rsidP="00EF2F0A">
      <w:pPr>
        <w:pStyle w:val="Odlomakpopisa"/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DF18EAC" w14:textId="77777777" w:rsidR="00873AFB" w:rsidRDefault="00CF312A" w:rsidP="00CF31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31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Izvještaj o korištenju proračunske zalihe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sadrži podatke o:</w:t>
      </w:r>
    </w:p>
    <w:p w14:paraId="66FB54BE" w14:textId="77777777" w:rsidR="00CF312A" w:rsidRPr="00CF312A" w:rsidRDefault="00CF312A" w:rsidP="00CF31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312A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donositelju odluke odnosno rješenja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korištenju proračunske zalihe,</w:t>
      </w:r>
    </w:p>
    <w:p w14:paraId="52EEF6EE" w14:textId="77777777" w:rsidR="00CF312A" w:rsidRPr="00CF312A" w:rsidRDefault="00CF312A" w:rsidP="00CF31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312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primatelju sredstava utvrđenom odlukom odnosno rješenjem o korištenju pro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računske zalihe,</w:t>
      </w:r>
    </w:p>
    <w:p w14:paraId="3483F69B" w14:textId="77777777" w:rsidR="00CF312A" w:rsidRPr="00CF312A" w:rsidRDefault="00CF312A" w:rsidP="00CF31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312A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namjeni korištenja utvrđenoj odlukom odnosno rješenjem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korištenju proračunske zalihe,</w:t>
      </w:r>
    </w:p>
    <w:p w14:paraId="45987299" w14:textId="77777777" w:rsidR="00900B6A" w:rsidRDefault="00CF312A" w:rsidP="00CF31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312A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iznosu i datumu isplaćenih sredstva iz proračunske zalihe sukladno odluci odnosno rješenju o korištenju proračunske zalihe.</w:t>
      </w:r>
    </w:p>
    <w:p w14:paraId="04712CB4" w14:textId="77777777" w:rsidR="00873AFB" w:rsidRPr="004C603C" w:rsidRDefault="00873AFB" w:rsidP="00CF312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60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ovom izvještajnom razdoblju nije bilo korištenja proračunske zalihe.</w:t>
      </w:r>
    </w:p>
    <w:p w14:paraId="04CCB60F" w14:textId="77777777" w:rsidR="00873AFB" w:rsidRDefault="00873AFB" w:rsidP="00CF31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71078F" w14:textId="77777777" w:rsidR="00873AFB" w:rsidRPr="00873AFB" w:rsidRDefault="00873AFB" w:rsidP="00873AFB">
      <w:pPr>
        <w:pStyle w:val="Odlomakpopisa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AFB">
        <w:rPr>
          <w:rFonts w:ascii="Times New Roman" w:hAnsi="Times New Roman" w:cs="Times New Roman"/>
          <w:sz w:val="24"/>
          <w:szCs w:val="24"/>
          <w:u w:val="single"/>
        </w:rPr>
        <w:t>Izvještaj o zaduživanju na domaćem i stranom tržištu novca i kapitala</w:t>
      </w:r>
    </w:p>
    <w:p w14:paraId="573BD5EF" w14:textId="77777777" w:rsidR="00873AFB" w:rsidRPr="004C603C" w:rsidRDefault="00873AFB" w:rsidP="00873A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603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zaduživanju na domaćem i stranom tržištu novca i kapitala sadrži:</w:t>
      </w:r>
    </w:p>
    <w:p w14:paraId="2D8B1BA0" w14:textId="77777777" w:rsidR="00873AFB" w:rsidRPr="004C603C" w:rsidRDefault="00873AFB" w:rsidP="00873A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6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pregled zaduživanja po dugoročnim kreditima, zajmovima i vrijednosnim papirima koje je u ime Republike Hrvatske ugovorilo ili preuzelo Ministarstvo financija odnosno koje je ugovorila </w:t>
      </w:r>
      <w:r w:rsidRPr="004C603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ili preuzela jedinica lokalne i područne (regionalne) samouprave u izvještajnom razdoblju po vrsti instrumenata, valutnoj, kamatnoj i ročnoj strukturi,</w:t>
      </w:r>
    </w:p>
    <w:p w14:paraId="4CAF8EE2" w14:textId="77777777" w:rsidR="00873AFB" w:rsidRPr="004C603C" w:rsidRDefault="00873AFB" w:rsidP="00873A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095211" w14:textId="77777777" w:rsidR="00873AFB" w:rsidRPr="004C603C" w:rsidRDefault="00873AFB" w:rsidP="00873A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603C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pregled zaduživanja po dugoročnim kreditima i zajmovima koje su ugovorili ili preuzeli proračunski korisnici državnog proračuna odnosno proračunski korisnici jedinica lokalne i područne (regionalne) samouprave u izvještajnom razdoblju po vrsti instrumenata, valutnoj, kamatnoj i ročnoj strukturi.</w:t>
      </w:r>
    </w:p>
    <w:p w14:paraId="2E9E011C" w14:textId="77777777" w:rsidR="00D63641" w:rsidRPr="004C603C" w:rsidRDefault="00D63641" w:rsidP="000D0D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603C">
        <w:rPr>
          <w:rFonts w:ascii="Times New Roman" w:eastAsia="Times New Roman" w:hAnsi="Times New Roman" w:cs="Times New Roman"/>
          <w:sz w:val="24"/>
          <w:szCs w:val="24"/>
          <w:lang w:eastAsia="hr-HR"/>
        </w:rPr>
        <w:t>– stanje obveza za vrijednosne papire, dugoročne kredite i zajmove koje je u ime Republike Hrvatske ugovorilo ili preuzelo Ministarstvo financija odnosno koje je ugovorila ili preuzela jedinica lokalne i područne (regionalne) samouprave na početku i na kraju proračunske godine, kao i iznose otplata navedenih obveza raspoređene prema dospijeću u narednim godinama,</w:t>
      </w:r>
    </w:p>
    <w:p w14:paraId="7E9D6C14" w14:textId="77777777" w:rsidR="00873AFB" w:rsidRPr="004C603C" w:rsidRDefault="00D63641" w:rsidP="000D0D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603C">
        <w:rPr>
          <w:rFonts w:ascii="Times New Roman" w:eastAsia="Times New Roman" w:hAnsi="Times New Roman" w:cs="Times New Roman"/>
          <w:sz w:val="24"/>
          <w:szCs w:val="24"/>
          <w:lang w:eastAsia="hr-HR"/>
        </w:rPr>
        <w:t>– stanje dugoročnih kredita i zajmova koje su ugovorili proračunski korisnici državnog proračuna odnosno proračunski korisnici jedinica lokalne i područne (regionalne) samouprave na početku i na kraju proračunske godine kao i iznose otplata navedenih obveza raspoređene prema dospijeću u narednim godinama.</w:t>
      </w:r>
    </w:p>
    <w:p w14:paraId="78484475" w14:textId="2158D6C9" w:rsidR="000D0D16" w:rsidRDefault="000D0D16" w:rsidP="00EC6CE8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2021. godini općina Privlaka dugoročno se zadužila kod Zagrebačke banke d.d. u iznosu od </w:t>
      </w:r>
      <w:r w:rsidR="00EC6CE8">
        <w:rPr>
          <w:rFonts w:ascii="Times New Roman" w:eastAsia="Times New Roman" w:hAnsi="Times New Roman" w:cs="Times New Roman"/>
          <w:sz w:val="24"/>
          <w:szCs w:val="24"/>
          <w:lang w:eastAsia="en-GB"/>
        </w:rPr>
        <w:t>(1.366.210,21 eura)</w:t>
      </w:r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 rokom otplate kredita od deset godina, bez počeka, u jednakim mjesečnim ratama, uz fiksnu godišnju kamatnu stopu od 1,30 % i uz naknadu banke za obradu kredita od 0,10 % od ugovorenog iznosa kredita odnosno</w:t>
      </w:r>
      <w:r w:rsidR="00EC6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1.366,21 eura</w:t>
      </w:r>
      <w:r w:rsidR="004C6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EC6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>Iznos kamata po kreditu iznosi</w:t>
      </w:r>
      <w:r w:rsidR="004C6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109.699,52 eura </w:t>
      </w:r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od čega interkalarna kamata iznosi </w:t>
      </w:r>
      <w:r w:rsidR="00EC6CE8">
        <w:rPr>
          <w:rFonts w:ascii="Times New Roman" w:eastAsia="Times New Roman" w:hAnsi="Times New Roman" w:cs="Times New Roman"/>
          <w:sz w:val="24"/>
          <w:szCs w:val="24"/>
          <w:lang w:eastAsia="en-GB"/>
        </w:rPr>
        <w:t>20.188,81 eura</w:t>
      </w:r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>. Sredstva se koriste za financiranje kapitalnog projekta</w:t>
      </w:r>
      <w:r w:rsidR="00DF2D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„Izgradnja i opremanje Dječjeg </w:t>
      </w:r>
      <w:proofErr w:type="gramStart"/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>vrtića“</w:t>
      </w:r>
      <w:proofErr w:type="gramEnd"/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sukladno Odluci općinskog vijeća </w:t>
      </w:r>
      <w:r w:rsidR="00EC6CE8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pćine Privlaka, KLASA: 403-01/20-01/01; URBROJ: 2198/28-01-20-2 od 25. veljače 2021. godine. Odluka Vlade Republike Hrvatske o davanju suglasnosti za navedeno zaduživanje donesena je 14. travnja 2021. godine u Klasi: 022-03/21-04/109; URBROJ: 50301-05/14-21-2. U 2021. godini općina Privlaka otplatila je </w:t>
      </w:r>
      <w:r w:rsidR="00EC6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315,70 eura </w:t>
      </w:r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kamata temeljem kreditnog zaduženja te je iskoristila </w:t>
      </w:r>
      <w:r w:rsidR="00EC6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150.236,42 eura </w:t>
      </w:r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glavnice kredita. Sukladno ugovoru kredit se može koristiti sukcesivno najkasnije do 31.12.2022. godine. </w:t>
      </w:r>
      <w:r w:rsidR="004C6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Kredit je iskorišten u cijelosti. </w:t>
      </w:r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Ukupno je s osnove kamata otplaćeno </w:t>
      </w:r>
      <w:r w:rsidR="00EC6CE8">
        <w:rPr>
          <w:rFonts w:ascii="Times New Roman" w:eastAsia="Times New Roman" w:hAnsi="Times New Roman" w:cs="Times New Roman"/>
          <w:sz w:val="24"/>
          <w:szCs w:val="24"/>
          <w:lang w:eastAsia="en-GB"/>
        </w:rPr>
        <w:t>22.936,78 eura.</w:t>
      </w:r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Početak otplate prve rate glavnice kredita </w:t>
      </w:r>
      <w:r w:rsidR="00EC6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počelo </w:t>
      </w:r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>je u 2023.godini(31.</w:t>
      </w:r>
      <w:r w:rsidR="004C6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>siječnja) te se nastavlja svakog zadnjeg dana u mjesecu, a zadnja rata je 31.12.</w:t>
      </w:r>
      <w:r w:rsidR="00DF2D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>2032.godine. Otplatni obrok (rata glavnice kredita) iznosi 11.385,09 eura kroz cijelo razdoblje otplate.  Kamata se obračunava i naplaćuje kvartalno. Kao osiguranje plaćanja Općina je izdala jednu solemiziranu zadužnicu na iznos kredita uvećano za ugovorene kamate, naknade i ostale troškove.</w:t>
      </w:r>
    </w:p>
    <w:p w14:paraId="07772CD3" w14:textId="77777777" w:rsidR="00A47533" w:rsidRDefault="00A47533" w:rsidP="00EC6CE8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FF58EC" w14:textId="77777777" w:rsidR="00A47533" w:rsidRDefault="00A47533" w:rsidP="00EC6CE8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Početno stanje obveza za kredit…………………1.366.210,21 eura</w:t>
      </w:r>
    </w:p>
    <w:p w14:paraId="3C03070A" w14:textId="77777777" w:rsidR="00A47533" w:rsidRDefault="00A47533" w:rsidP="00EC6CE8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Otplaćeno u izvještajnom razdoblju…………...……68.310,54 eura</w:t>
      </w:r>
    </w:p>
    <w:p w14:paraId="5B31D20A" w14:textId="77777777" w:rsidR="00A47533" w:rsidRPr="00EC6CE8" w:rsidRDefault="00A47533" w:rsidP="00EC6CE8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Stanje kredita na dan 30.06.2023………………...1.297.899,67 eura</w:t>
      </w:r>
    </w:p>
    <w:p w14:paraId="2153BE73" w14:textId="77777777" w:rsidR="000D0D16" w:rsidRDefault="000D0D16" w:rsidP="000D0D16">
      <w:pPr>
        <w:spacing w:after="0" w:line="294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24BDFC13" w14:textId="77777777" w:rsidR="00A47533" w:rsidRPr="00A47533" w:rsidRDefault="00A47533" w:rsidP="000D0D16">
      <w:pPr>
        <w:spacing w:after="0" w:line="294" w:lineRule="exact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A47533">
        <w:rPr>
          <w:rFonts w:ascii="Times New Roman" w:eastAsiaTheme="minorEastAsia" w:hAnsi="Times New Roman" w:cs="Times New Roman"/>
          <w:sz w:val="24"/>
          <w:szCs w:val="24"/>
          <w:lang w:eastAsia="en-GB"/>
        </w:rPr>
        <w:t>Ugovorene kamate………………………………</w:t>
      </w:r>
      <w:proofErr w:type="gramStart"/>
      <w:r w:rsidRPr="00A47533">
        <w:rPr>
          <w:rFonts w:ascii="Times New Roman" w:eastAsiaTheme="minorEastAsia" w:hAnsi="Times New Roman" w:cs="Times New Roman"/>
          <w:sz w:val="24"/>
          <w:szCs w:val="24"/>
          <w:lang w:eastAsia="en-GB"/>
        </w:rPr>
        <w:t>…..</w:t>
      </w:r>
      <w:proofErr w:type="gramEnd"/>
      <w:r w:rsidRPr="00A47533">
        <w:rPr>
          <w:rFonts w:ascii="Times New Roman" w:eastAsiaTheme="minorEastAsia" w:hAnsi="Times New Roman" w:cs="Times New Roman"/>
          <w:sz w:val="24"/>
          <w:szCs w:val="24"/>
          <w:lang w:eastAsia="en-GB"/>
        </w:rPr>
        <w:t>89.510,71 eura</w:t>
      </w:r>
    </w:p>
    <w:p w14:paraId="277C2485" w14:textId="77777777" w:rsidR="00A47533" w:rsidRPr="00A47533" w:rsidRDefault="00A47533" w:rsidP="000D0D16">
      <w:pPr>
        <w:spacing w:after="0" w:line="294" w:lineRule="exact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A47533">
        <w:rPr>
          <w:rFonts w:ascii="Times New Roman" w:eastAsiaTheme="minorEastAsia" w:hAnsi="Times New Roman" w:cs="Times New Roman"/>
          <w:sz w:val="24"/>
          <w:szCs w:val="24"/>
          <w:lang w:eastAsia="en-GB"/>
        </w:rPr>
        <w:t>Otplaćene kamate do kraja izvještajnog razdoblja</w:t>
      </w:r>
      <w:r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</w:t>
      </w:r>
      <w:r w:rsidRPr="00A47533">
        <w:rPr>
          <w:rFonts w:ascii="Times New Roman" w:eastAsiaTheme="minorEastAsia" w:hAnsi="Times New Roman" w:cs="Times New Roman"/>
          <w:sz w:val="24"/>
          <w:szCs w:val="24"/>
          <w:lang w:eastAsia="en-GB"/>
        </w:rPr>
        <w:t>….22.936,78 eura</w:t>
      </w:r>
    </w:p>
    <w:p w14:paraId="6091BDF5" w14:textId="77777777" w:rsidR="00A47533" w:rsidRDefault="00A47533" w:rsidP="000D0D16">
      <w:pPr>
        <w:spacing w:after="0" w:line="294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A47533">
        <w:rPr>
          <w:rFonts w:ascii="Times New Roman" w:eastAsiaTheme="minorEastAsia" w:hAnsi="Times New Roman" w:cs="Times New Roman"/>
          <w:sz w:val="24"/>
          <w:szCs w:val="24"/>
          <w:lang w:eastAsia="en-GB"/>
        </w:rPr>
        <w:t>Ostatak za platiti kamate prema anuitetnom planu</w:t>
      </w:r>
      <w:r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</w:t>
      </w:r>
      <w:r w:rsidRPr="00A47533">
        <w:rPr>
          <w:rFonts w:ascii="Times New Roman" w:eastAsiaTheme="minorEastAsia" w:hAnsi="Times New Roman" w:cs="Times New Roman"/>
          <w:sz w:val="24"/>
          <w:szCs w:val="24"/>
          <w:lang w:eastAsia="en-GB"/>
        </w:rPr>
        <w:t>….66.573,93 eura</w:t>
      </w:r>
      <w:r>
        <w:rPr>
          <w:rFonts w:ascii="Times New Roman" w:eastAsiaTheme="minorEastAsia" w:hAnsi="Times New Roman" w:cs="Times New Roman"/>
          <w:sz w:val="20"/>
          <w:szCs w:val="20"/>
          <w:lang w:eastAsia="en-GB"/>
        </w:rPr>
        <w:t>.</w:t>
      </w:r>
    </w:p>
    <w:p w14:paraId="52315052" w14:textId="77777777" w:rsidR="00A47533" w:rsidRPr="000D0D16" w:rsidRDefault="00A47533" w:rsidP="000D0D16">
      <w:pPr>
        <w:spacing w:after="0" w:line="294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48E33E58" w14:textId="39C3F62C" w:rsidR="000D0D16" w:rsidRPr="000D0D16" w:rsidRDefault="000D0D16" w:rsidP="000D0D16">
      <w:pPr>
        <w:spacing w:after="0" w:line="236" w:lineRule="auto"/>
        <w:ind w:left="4"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Proračunski korisnik dječji vrtić Sabunić se u razdoblju od 01.01. do </w:t>
      </w:r>
      <w:r w:rsidR="00A47533">
        <w:rPr>
          <w:rFonts w:ascii="Times New Roman" w:eastAsia="Times New Roman" w:hAnsi="Times New Roman" w:cs="Times New Roman"/>
          <w:sz w:val="24"/>
          <w:szCs w:val="24"/>
          <w:lang w:eastAsia="en-GB"/>
        </w:rPr>
        <w:t>30.06.2023.</w:t>
      </w:r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godine nije zaduživao na domaćem i stranom tržištu te sukladno tome nema obveza po osnovi navedenog na dan </w:t>
      </w:r>
      <w:r w:rsidR="00A47533">
        <w:rPr>
          <w:rFonts w:ascii="Times New Roman" w:eastAsia="Times New Roman" w:hAnsi="Times New Roman" w:cs="Times New Roman"/>
          <w:sz w:val="24"/>
          <w:szCs w:val="24"/>
          <w:lang w:eastAsia="en-GB"/>
        </w:rPr>
        <w:t>30.06.2023</w:t>
      </w:r>
      <w:r w:rsidRPr="000D0D16">
        <w:rPr>
          <w:rFonts w:ascii="Times New Roman" w:eastAsia="Times New Roman" w:hAnsi="Times New Roman" w:cs="Times New Roman"/>
          <w:sz w:val="24"/>
          <w:szCs w:val="24"/>
          <w:lang w:eastAsia="en-GB"/>
        </w:rPr>
        <w:t>. godine.</w:t>
      </w:r>
      <w:r w:rsidR="004C6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Dječj</w:t>
      </w:r>
      <w:r w:rsidR="00A47533">
        <w:rPr>
          <w:rFonts w:ascii="Times New Roman" w:eastAsia="Times New Roman" w:hAnsi="Times New Roman" w:cs="Times New Roman"/>
          <w:sz w:val="24"/>
          <w:szCs w:val="24"/>
          <w:lang w:eastAsia="en-GB"/>
        </w:rPr>
        <w:t>i vrtić nema obveza s osnova zaduživanja.</w:t>
      </w:r>
    </w:p>
    <w:p w14:paraId="50DB86AA" w14:textId="77777777" w:rsidR="00873AFB" w:rsidRDefault="00873AFB" w:rsidP="00CF31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CA19A7" w14:textId="5C6810F8" w:rsidR="00EF1720" w:rsidRDefault="00EF1720" w:rsidP="00EF1720">
      <w:pPr>
        <w:pStyle w:val="Odlomakpopisa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720">
        <w:rPr>
          <w:rFonts w:ascii="Times New Roman" w:hAnsi="Times New Roman" w:cs="Times New Roman"/>
          <w:sz w:val="24"/>
          <w:szCs w:val="24"/>
          <w:u w:val="single"/>
        </w:rPr>
        <w:lastRenderedPageBreak/>
        <w:t>Izvještaj o danim jamstvima i plaćanjima po protestiranim jamstvima</w:t>
      </w:r>
    </w:p>
    <w:p w14:paraId="1F5FD4FC" w14:textId="7B2095F1" w:rsidR="00A7570A" w:rsidRDefault="00A423B0" w:rsidP="00A75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B0">
        <w:rPr>
          <w:rFonts w:ascii="Times New Roman" w:hAnsi="Times New Roman" w:cs="Times New Roman"/>
          <w:sz w:val="24"/>
          <w:szCs w:val="24"/>
        </w:rPr>
        <w:t xml:space="preserve">Sukladno članku 26. Pravilnika o polugodišnjem i godišnjem izvršenu proračuna i financijskog plana </w:t>
      </w:r>
      <w:r>
        <w:rPr>
          <w:rFonts w:ascii="Times New Roman" w:hAnsi="Times New Roman" w:cs="Times New Roman"/>
          <w:sz w:val="24"/>
          <w:szCs w:val="24"/>
        </w:rPr>
        <w:t xml:space="preserve">(“NN” br. 85/23) </w:t>
      </w:r>
      <w:r w:rsidRPr="00A423B0">
        <w:rPr>
          <w:rFonts w:ascii="Times New Roman" w:hAnsi="Times New Roman" w:cs="Times New Roman"/>
          <w:sz w:val="24"/>
          <w:szCs w:val="24"/>
        </w:rPr>
        <w:t>ovaj Izvještaj sadrži:</w:t>
      </w:r>
    </w:p>
    <w:p w14:paraId="16FC7921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a) pregled danih jamstava s podacima o:</w:t>
      </w:r>
    </w:p>
    <w:p w14:paraId="6EBFA840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odluci o davanju jamstva,</w:t>
      </w:r>
    </w:p>
    <w:p w14:paraId="49A6811B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rizničnom broju jamstva,</w:t>
      </w:r>
    </w:p>
    <w:p w14:paraId="13B3CB58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datumu izdavanja jamstva,</w:t>
      </w:r>
    </w:p>
    <w:p w14:paraId="738C9CF9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nazivu korisnika i tražitelja jamstva odnosno dužnika i namjeni kredita,</w:t>
      </w:r>
    </w:p>
    <w:p w14:paraId="746EEA86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iznosu jamstva,</w:t>
      </w:r>
    </w:p>
    <w:p w14:paraId="5E281070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valuti i krajnjoj godini važenja jamstva.</w:t>
      </w:r>
    </w:p>
    <w:p w14:paraId="420B78F8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b) pregled izvršenih plaćanja po protestiranim jamstvima s podacima o:</w:t>
      </w:r>
    </w:p>
    <w:p w14:paraId="4D2CAB98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datumu plaćanja po protestiranom jamstvu,</w:t>
      </w:r>
    </w:p>
    <w:p w14:paraId="45BFB678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nazivu tražitelja jamstva odnosno dužnika i korisnika jamstva,</w:t>
      </w:r>
    </w:p>
    <w:p w14:paraId="66C7E1AC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rizničnom broju jamstva,</w:t>
      </w:r>
    </w:p>
    <w:p w14:paraId="1D2979A6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iznosu plaćene glavnice, kamata, ostalih troškova i naknada,</w:t>
      </w:r>
    </w:p>
    <w:p w14:paraId="5B2C99F0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valuti plaćanja.</w:t>
      </w:r>
    </w:p>
    <w:p w14:paraId="6EA57289" w14:textId="7CDA6529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Ovaj i</w:t>
      </w: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zvještaj iz stavka dodatno sadrži:</w:t>
      </w:r>
    </w:p>
    <w:p w14:paraId="5C27D86B" w14:textId="6167C8E8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stanje aktivnih jamstava na početku i na kraju proračunske godine s podacima o:</w:t>
      </w:r>
    </w:p>
    <w:p w14:paraId="7FA67B60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nazivu tražitelja jamstva odnosno dužnika i korisnika jamstva,</w:t>
      </w:r>
    </w:p>
    <w:p w14:paraId="30D81167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rizničnom broju jamstva,</w:t>
      </w:r>
    </w:p>
    <w:p w14:paraId="6C207C40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stanju potencijalnih obveza na početku i na kraju proračunske godine u valuti.</w:t>
      </w:r>
    </w:p>
    <w:p w14:paraId="354B894E" w14:textId="0996675F" w:rsidR="00A423B0" w:rsidRPr="00A423B0" w:rsidRDefault="00A423B0" w:rsidP="00A423B0">
      <w:pPr>
        <w:shd w:val="clear" w:color="auto" w:fill="FFFFFF"/>
        <w:spacing w:after="48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stanje potraživanja po protestiranim jamstvima na početku i na kraju proračunske godine s podacima o:</w:t>
      </w:r>
    </w:p>
    <w:p w14:paraId="2DDF3819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nazivu tražitelja jamstva odnosno dužnika,</w:t>
      </w:r>
    </w:p>
    <w:p w14:paraId="6777EADA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iznosu potraživanja na ime plaćene glavnice, kamata, ostalih troškova i naknada na početku i na kraju proračunske godine,</w:t>
      </w:r>
    </w:p>
    <w:p w14:paraId="7E7989E1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iznosu potraživanja na ime zatezne kamate na početku i na kraju proračunske godine.</w:t>
      </w:r>
    </w:p>
    <w:p w14:paraId="17AB7108" w14:textId="6A085DFB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stanje potraživanja na ime premije/provizije na dana jamstva na početku i na kraju proračunske godine s podacima o:</w:t>
      </w:r>
    </w:p>
    <w:p w14:paraId="271BEFCA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nazivu tražitelja jamstva odnosno dužnika i</w:t>
      </w:r>
    </w:p>
    <w:p w14:paraId="75CACE7A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iznosu potraživanja na početku i na kraju proračunske godine.</w:t>
      </w:r>
    </w:p>
    <w:p w14:paraId="00602412" w14:textId="6DA20D05" w:rsidR="00A423B0" w:rsidRPr="00A423B0" w:rsidRDefault="00A423B0" w:rsidP="00A423B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Stanje aktivnih jamstava iskazuje se na način:</w:t>
      </w:r>
    </w:p>
    <w:p w14:paraId="035482DC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stanje aktivnih jamstava koja su izdana za osiguranje kredita na način da se evidentira stanje na početku i na kraju proračunske godine, a koje se odnosi na korištenje i otplatu kredita,</w:t>
      </w:r>
    </w:p>
    <w:p w14:paraId="5C2CEDDD" w14:textId="77777777" w:rsidR="00A423B0" w:rsidRPr="00A423B0" w:rsidRDefault="00A423B0" w:rsidP="00A423B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A423B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 stanje aktivnih jamstava koja su vezana za okončanje posla odnosno osiguranje primljenih predujmova na način da se evidentira stanje na početku i na kraju proračunske godine, a koje se odnosi na iznos primljenog predujma u proračunskoj godini.</w:t>
      </w:r>
    </w:p>
    <w:p w14:paraId="588EC602" w14:textId="6E08A8D4" w:rsidR="00A7570A" w:rsidRPr="00A7570A" w:rsidRDefault="00A7570A" w:rsidP="00A75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3446D2BE" w14:textId="77777777" w:rsidR="00EF1720" w:rsidRPr="00A423B0" w:rsidRDefault="00EF1720" w:rsidP="00EF17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3B0">
        <w:rPr>
          <w:rFonts w:ascii="Times New Roman" w:hAnsi="Times New Roman" w:cs="Times New Roman"/>
          <w:b/>
          <w:sz w:val="24"/>
          <w:szCs w:val="24"/>
        </w:rPr>
        <w:t>U izvještajnom razdoblju Općina Privlaka nije davala jamstva. U odnosu na početno stanje nema promjena odnosno nema evidentiranih jamstava</w:t>
      </w:r>
      <w:r w:rsidR="00F0353E" w:rsidRPr="00A423B0">
        <w:rPr>
          <w:rFonts w:ascii="Times New Roman" w:hAnsi="Times New Roman" w:cs="Times New Roman"/>
          <w:b/>
          <w:sz w:val="24"/>
          <w:szCs w:val="24"/>
        </w:rPr>
        <w:t xml:space="preserve"> niti plaćanja po protestiranim jamstvima.</w:t>
      </w:r>
    </w:p>
    <w:p w14:paraId="1C0F89E8" w14:textId="77777777" w:rsidR="00EF1720" w:rsidRPr="00CF312A" w:rsidRDefault="00EF1720" w:rsidP="00CF31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F1720" w:rsidRPr="00CF312A" w:rsidSect="0055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15815" w14:textId="77777777" w:rsidR="007B4691" w:rsidRDefault="007B4691" w:rsidP="00551BB7">
      <w:pPr>
        <w:spacing w:after="0" w:line="240" w:lineRule="auto"/>
      </w:pPr>
      <w:r>
        <w:separator/>
      </w:r>
    </w:p>
  </w:endnote>
  <w:endnote w:type="continuationSeparator" w:id="0">
    <w:p w14:paraId="2A1378F0" w14:textId="77777777" w:rsidR="007B4691" w:rsidRDefault="007B4691" w:rsidP="0055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9064" w14:textId="77777777" w:rsidR="00551BB7" w:rsidRDefault="00551BB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941900"/>
      <w:docPartObj>
        <w:docPartGallery w:val="Page Numbers (Bottom of Page)"/>
        <w:docPartUnique/>
      </w:docPartObj>
    </w:sdtPr>
    <w:sdtEndPr/>
    <w:sdtContent>
      <w:p w14:paraId="0328F640" w14:textId="360EFA3E" w:rsidR="00551BB7" w:rsidRDefault="00551BB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203" w:rsidRPr="00504203">
          <w:rPr>
            <w:noProof/>
            <w:lang w:val="hr-HR"/>
          </w:rPr>
          <w:t>31</w:t>
        </w:r>
        <w:r>
          <w:fldChar w:fldCharType="end"/>
        </w:r>
      </w:p>
    </w:sdtContent>
  </w:sdt>
  <w:p w14:paraId="339DCCC9" w14:textId="77777777" w:rsidR="00551BB7" w:rsidRDefault="00551BB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3A5DB" w14:textId="77777777" w:rsidR="00551BB7" w:rsidRDefault="00551B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0F94D" w14:textId="77777777" w:rsidR="007B4691" w:rsidRDefault="007B4691" w:rsidP="00551BB7">
      <w:pPr>
        <w:spacing w:after="0" w:line="240" w:lineRule="auto"/>
      </w:pPr>
      <w:r>
        <w:separator/>
      </w:r>
    </w:p>
  </w:footnote>
  <w:footnote w:type="continuationSeparator" w:id="0">
    <w:p w14:paraId="19EB4AC3" w14:textId="77777777" w:rsidR="007B4691" w:rsidRDefault="007B4691" w:rsidP="0055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BD91F" w14:textId="77777777" w:rsidR="00551BB7" w:rsidRDefault="00551BB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3B49A" w14:textId="77777777" w:rsidR="00551BB7" w:rsidRDefault="00551BB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752C" w14:textId="77777777" w:rsidR="00551BB7" w:rsidRDefault="00551B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CE1"/>
    <w:multiLevelType w:val="hybridMultilevel"/>
    <w:tmpl w:val="187831CE"/>
    <w:lvl w:ilvl="0" w:tplc="FBFCAC38">
      <w:start w:val="1"/>
      <w:numFmt w:val="bullet"/>
      <w:lvlText w:val=""/>
      <w:lvlJc w:val="left"/>
    </w:lvl>
    <w:lvl w:ilvl="1" w:tplc="5E265202">
      <w:numFmt w:val="decimal"/>
      <w:lvlText w:val=""/>
      <w:lvlJc w:val="left"/>
    </w:lvl>
    <w:lvl w:ilvl="2" w:tplc="6B32BDBA">
      <w:numFmt w:val="decimal"/>
      <w:lvlText w:val=""/>
      <w:lvlJc w:val="left"/>
    </w:lvl>
    <w:lvl w:ilvl="3" w:tplc="089ECE8E">
      <w:numFmt w:val="decimal"/>
      <w:lvlText w:val=""/>
      <w:lvlJc w:val="left"/>
    </w:lvl>
    <w:lvl w:ilvl="4" w:tplc="A048522C">
      <w:numFmt w:val="decimal"/>
      <w:lvlText w:val=""/>
      <w:lvlJc w:val="left"/>
    </w:lvl>
    <w:lvl w:ilvl="5" w:tplc="C4B877AA">
      <w:numFmt w:val="decimal"/>
      <w:lvlText w:val=""/>
      <w:lvlJc w:val="left"/>
    </w:lvl>
    <w:lvl w:ilvl="6" w:tplc="23B40EBE">
      <w:numFmt w:val="decimal"/>
      <w:lvlText w:val=""/>
      <w:lvlJc w:val="left"/>
    </w:lvl>
    <w:lvl w:ilvl="7" w:tplc="F4561192">
      <w:numFmt w:val="decimal"/>
      <w:lvlText w:val=""/>
      <w:lvlJc w:val="left"/>
    </w:lvl>
    <w:lvl w:ilvl="8" w:tplc="6CACA1C4">
      <w:numFmt w:val="decimal"/>
      <w:lvlText w:val=""/>
      <w:lvlJc w:val="left"/>
    </w:lvl>
  </w:abstractNum>
  <w:abstractNum w:abstractNumId="1" w15:restartNumberingAfterBreak="0">
    <w:nsid w:val="00002DB5"/>
    <w:multiLevelType w:val="hybridMultilevel"/>
    <w:tmpl w:val="19A08B1A"/>
    <w:lvl w:ilvl="0" w:tplc="E2BE10FA">
      <w:start w:val="1"/>
      <w:numFmt w:val="bullet"/>
      <w:lvlText w:val=""/>
      <w:lvlJc w:val="left"/>
    </w:lvl>
    <w:lvl w:ilvl="1" w:tplc="C5B40CF8">
      <w:numFmt w:val="decimal"/>
      <w:lvlText w:val=""/>
      <w:lvlJc w:val="left"/>
    </w:lvl>
    <w:lvl w:ilvl="2" w:tplc="0A744A4A">
      <w:numFmt w:val="decimal"/>
      <w:lvlText w:val=""/>
      <w:lvlJc w:val="left"/>
    </w:lvl>
    <w:lvl w:ilvl="3" w:tplc="8B8E5996">
      <w:numFmt w:val="decimal"/>
      <w:lvlText w:val=""/>
      <w:lvlJc w:val="left"/>
    </w:lvl>
    <w:lvl w:ilvl="4" w:tplc="61FEEADA">
      <w:numFmt w:val="decimal"/>
      <w:lvlText w:val=""/>
      <w:lvlJc w:val="left"/>
    </w:lvl>
    <w:lvl w:ilvl="5" w:tplc="64D26386">
      <w:numFmt w:val="decimal"/>
      <w:lvlText w:val=""/>
      <w:lvlJc w:val="left"/>
    </w:lvl>
    <w:lvl w:ilvl="6" w:tplc="73C60434">
      <w:numFmt w:val="decimal"/>
      <w:lvlText w:val=""/>
      <w:lvlJc w:val="left"/>
    </w:lvl>
    <w:lvl w:ilvl="7" w:tplc="9EA23454">
      <w:numFmt w:val="decimal"/>
      <w:lvlText w:val=""/>
      <w:lvlJc w:val="left"/>
    </w:lvl>
    <w:lvl w:ilvl="8" w:tplc="DED06370">
      <w:numFmt w:val="decimal"/>
      <w:lvlText w:val=""/>
      <w:lvlJc w:val="left"/>
    </w:lvl>
  </w:abstractNum>
  <w:abstractNum w:abstractNumId="2" w15:restartNumberingAfterBreak="0">
    <w:nsid w:val="000030A7"/>
    <w:multiLevelType w:val="hybridMultilevel"/>
    <w:tmpl w:val="8AC2BE98"/>
    <w:lvl w:ilvl="0" w:tplc="4C108476">
      <w:start w:val="15"/>
      <w:numFmt w:val="lowerLetter"/>
      <w:lvlText w:val="%1"/>
      <w:lvlJc w:val="left"/>
    </w:lvl>
    <w:lvl w:ilvl="1" w:tplc="0AB8833A">
      <w:numFmt w:val="decimal"/>
      <w:lvlText w:val=""/>
      <w:lvlJc w:val="left"/>
    </w:lvl>
    <w:lvl w:ilvl="2" w:tplc="D892E084">
      <w:numFmt w:val="decimal"/>
      <w:lvlText w:val=""/>
      <w:lvlJc w:val="left"/>
    </w:lvl>
    <w:lvl w:ilvl="3" w:tplc="C10C6F92">
      <w:numFmt w:val="decimal"/>
      <w:lvlText w:val=""/>
      <w:lvlJc w:val="left"/>
    </w:lvl>
    <w:lvl w:ilvl="4" w:tplc="C8109BAC">
      <w:numFmt w:val="decimal"/>
      <w:lvlText w:val=""/>
      <w:lvlJc w:val="left"/>
    </w:lvl>
    <w:lvl w:ilvl="5" w:tplc="B2FE37D0">
      <w:numFmt w:val="decimal"/>
      <w:lvlText w:val=""/>
      <w:lvlJc w:val="left"/>
    </w:lvl>
    <w:lvl w:ilvl="6" w:tplc="B19299F6">
      <w:numFmt w:val="decimal"/>
      <w:lvlText w:val=""/>
      <w:lvlJc w:val="left"/>
    </w:lvl>
    <w:lvl w:ilvl="7" w:tplc="14A21158">
      <w:numFmt w:val="decimal"/>
      <w:lvlText w:val=""/>
      <w:lvlJc w:val="left"/>
    </w:lvl>
    <w:lvl w:ilvl="8" w:tplc="A81AA1F6">
      <w:numFmt w:val="decimal"/>
      <w:lvlText w:val=""/>
      <w:lvlJc w:val="left"/>
    </w:lvl>
  </w:abstractNum>
  <w:abstractNum w:abstractNumId="3" w15:restartNumberingAfterBreak="0">
    <w:nsid w:val="00003EE9"/>
    <w:multiLevelType w:val="hybridMultilevel"/>
    <w:tmpl w:val="4E7AFFB6"/>
    <w:lvl w:ilvl="0" w:tplc="8E8E6978">
      <w:start w:val="1"/>
      <w:numFmt w:val="bullet"/>
      <w:lvlText w:val=""/>
      <w:lvlJc w:val="left"/>
    </w:lvl>
    <w:lvl w:ilvl="1" w:tplc="9BA6BC54">
      <w:numFmt w:val="decimal"/>
      <w:lvlText w:val=""/>
      <w:lvlJc w:val="left"/>
    </w:lvl>
    <w:lvl w:ilvl="2" w:tplc="70ACCFBA">
      <w:numFmt w:val="decimal"/>
      <w:lvlText w:val=""/>
      <w:lvlJc w:val="left"/>
    </w:lvl>
    <w:lvl w:ilvl="3" w:tplc="95B26B92">
      <w:numFmt w:val="decimal"/>
      <w:lvlText w:val=""/>
      <w:lvlJc w:val="left"/>
    </w:lvl>
    <w:lvl w:ilvl="4" w:tplc="5B02CEBC">
      <w:numFmt w:val="decimal"/>
      <w:lvlText w:val=""/>
      <w:lvlJc w:val="left"/>
    </w:lvl>
    <w:lvl w:ilvl="5" w:tplc="9B86E84A">
      <w:numFmt w:val="decimal"/>
      <w:lvlText w:val=""/>
      <w:lvlJc w:val="left"/>
    </w:lvl>
    <w:lvl w:ilvl="6" w:tplc="0B5E7EDC">
      <w:numFmt w:val="decimal"/>
      <w:lvlText w:val=""/>
      <w:lvlJc w:val="left"/>
    </w:lvl>
    <w:lvl w:ilvl="7" w:tplc="594627FE">
      <w:numFmt w:val="decimal"/>
      <w:lvlText w:val=""/>
      <w:lvlJc w:val="left"/>
    </w:lvl>
    <w:lvl w:ilvl="8" w:tplc="A1C44752">
      <w:numFmt w:val="decimal"/>
      <w:lvlText w:val=""/>
      <w:lvlJc w:val="left"/>
    </w:lvl>
  </w:abstractNum>
  <w:abstractNum w:abstractNumId="4" w15:restartNumberingAfterBreak="0">
    <w:nsid w:val="00003F9A"/>
    <w:multiLevelType w:val="hybridMultilevel"/>
    <w:tmpl w:val="B818EC9C"/>
    <w:lvl w:ilvl="0" w:tplc="E430B090">
      <w:start w:val="1"/>
      <w:numFmt w:val="bullet"/>
      <w:lvlText w:val=""/>
      <w:lvlJc w:val="left"/>
    </w:lvl>
    <w:lvl w:ilvl="1" w:tplc="13064B14">
      <w:start w:val="1"/>
      <w:numFmt w:val="bullet"/>
      <w:lvlText w:val=""/>
      <w:lvlJc w:val="left"/>
    </w:lvl>
    <w:lvl w:ilvl="2" w:tplc="D4EE6492">
      <w:numFmt w:val="decimal"/>
      <w:lvlText w:val=""/>
      <w:lvlJc w:val="left"/>
    </w:lvl>
    <w:lvl w:ilvl="3" w:tplc="9F6438E0">
      <w:numFmt w:val="decimal"/>
      <w:lvlText w:val=""/>
      <w:lvlJc w:val="left"/>
    </w:lvl>
    <w:lvl w:ilvl="4" w:tplc="507E5742">
      <w:numFmt w:val="decimal"/>
      <w:lvlText w:val=""/>
      <w:lvlJc w:val="left"/>
    </w:lvl>
    <w:lvl w:ilvl="5" w:tplc="D3F02B22">
      <w:numFmt w:val="decimal"/>
      <w:lvlText w:val=""/>
      <w:lvlJc w:val="left"/>
    </w:lvl>
    <w:lvl w:ilvl="6" w:tplc="121ADF0A">
      <w:numFmt w:val="decimal"/>
      <w:lvlText w:val=""/>
      <w:lvlJc w:val="left"/>
    </w:lvl>
    <w:lvl w:ilvl="7" w:tplc="FFBA1BBC">
      <w:numFmt w:val="decimal"/>
      <w:lvlText w:val=""/>
      <w:lvlJc w:val="left"/>
    </w:lvl>
    <w:lvl w:ilvl="8" w:tplc="45BE0F84">
      <w:numFmt w:val="decimal"/>
      <w:lvlText w:val=""/>
      <w:lvlJc w:val="left"/>
    </w:lvl>
  </w:abstractNum>
  <w:abstractNum w:abstractNumId="5" w15:restartNumberingAfterBreak="0">
    <w:nsid w:val="000046C2"/>
    <w:multiLevelType w:val="hybridMultilevel"/>
    <w:tmpl w:val="A5A2C958"/>
    <w:lvl w:ilvl="0" w:tplc="C44870B0">
      <w:start w:val="1"/>
      <w:numFmt w:val="lowerLetter"/>
      <w:lvlText w:val="%1)"/>
      <w:lvlJc w:val="left"/>
    </w:lvl>
    <w:lvl w:ilvl="1" w:tplc="9B6AA0A4">
      <w:numFmt w:val="decimal"/>
      <w:lvlText w:val=""/>
      <w:lvlJc w:val="left"/>
    </w:lvl>
    <w:lvl w:ilvl="2" w:tplc="55505198">
      <w:numFmt w:val="decimal"/>
      <w:lvlText w:val=""/>
      <w:lvlJc w:val="left"/>
    </w:lvl>
    <w:lvl w:ilvl="3" w:tplc="9F8410D6">
      <w:numFmt w:val="decimal"/>
      <w:lvlText w:val=""/>
      <w:lvlJc w:val="left"/>
    </w:lvl>
    <w:lvl w:ilvl="4" w:tplc="529A77EA">
      <w:numFmt w:val="decimal"/>
      <w:lvlText w:val=""/>
      <w:lvlJc w:val="left"/>
    </w:lvl>
    <w:lvl w:ilvl="5" w:tplc="DABE6EBA">
      <w:numFmt w:val="decimal"/>
      <w:lvlText w:val=""/>
      <w:lvlJc w:val="left"/>
    </w:lvl>
    <w:lvl w:ilvl="6" w:tplc="46048B0E">
      <w:numFmt w:val="decimal"/>
      <w:lvlText w:val=""/>
      <w:lvlJc w:val="left"/>
    </w:lvl>
    <w:lvl w:ilvl="7" w:tplc="FF006098">
      <w:numFmt w:val="decimal"/>
      <w:lvlText w:val=""/>
      <w:lvlJc w:val="left"/>
    </w:lvl>
    <w:lvl w:ilvl="8" w:tplc="1A66FEBC">
      <w:numFmt w:val="decimal"/>
      <w:lvlText w:val=""/>
      <w:lvlJc w:val="left"/>
    </w:lvl>
  </w:abstractNum>
  <w:abstractNum w:abstractNumId="6" w15:restartNumberingAfterBreak="0">
    <w:nsid w:val="00006486"/>
    <w:multiLevelType w:val="hybridMultilevel"/>
    <w:tmpl w:val="DE4EEEC0"/>
    <w:lvl w:ilvl="0" w:tplc="F31AC4C6">
      <w:start w:val="1"/>
      <w:numFmt w:val="bullet"/>
      <w:lvlText w:val=""/>
      <w:lvlJc w:val="left"/>
    </w:lvl>
    <w:lvl w:ilvl="1" w:tplc="8BEED44E">
      <w:start w:val="15"/>
      <w:numFmt w:val="lowerLetter"/>
      <w:lvlText w:val="%2"/>
      <w:lvlJc w:val="left"/>
    </w:lvl>
    <w:lvl w:ilvl="2" w:tplc="367CB442">
      <w:start w:val="1"/>
      <w:numFmt w:val="bullet"/>
      <w:lvlText w:val=""/>
      <w:lvlJc w:val="left"/>
    </w:lvl>
    <w:lvl w:ilvl="3" w:tplc="BE1EFA88">
      <w:numFmt w:val="decimal"/>
      <w:lvlText w:val=""/>
      <w:lvlJc w:val="left"/>
    </w:lvl>
    <w:lvl w:ilvl="4" w:tplc="EBEC4054">
      <w:numFmt w:val="decimal"/>
      <w:lvlText w:val=""/>
      <w:lvlJc w:val="left"/>
    </w:lvl>
    <w:lvl w:ilvl="5" w:tplc="5F781C66">
      <w:numFmt w:val="decimal"/>
      <w:lvlText w:val=""/>
      <w:lvlJc w:val="left"/>
    </w:lvl>
    <w:lvl w:ilvl="6" w:tplc="C5FA8C5E">
      <w:numFmt w:val="decimal"/>
      <w:lvlText w:val=""/>
      <w:lvlJc w:val="left"/>
    </w:lvl>
    <w:lvl w:ilvl="7" w:tplc="9BCC5DC0">
      <w:numFmt w:val="decimal"/>
      <w:lvlText w:val=""/>
      <w:lvlJc w:val="left"/>
    </w:lvl>
    <w:lvl w:ilvl="8" w:tplc="28FCB928">
      <w:numFmt w:val="decimal"/>
      <w:lvlText w:val=""/>
      <w:lvlJc w:val="left"/>
    </w:lvl>
  </w:abstractNum>
  <w:abstractNum w:abstractNumId="7" w15:restartNumberingAfterBreak="0">
    <w:nsid w:val="0C63760B"/>
    <w:multiLevelType w:val="hybridMultilevel"/>
    <w:tmpl w:val="CA2CB31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3523A9"/>
    <w:multiLevelType w:val="multilevel"/>
    <w:tmpl w:val="9F260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D8945BC"/>
    <w:multiLevelType w:val="multilevel"/>
    <w:tmpl w:val="86E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8F866B9"/>
    <w:multiLevelType w:val="multilevel"/>
    <w:tmpl w:val="880490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732956"/>
    <w:multiLevelType w:val="hybridMultilevel"/>
    <w:tmpl w:val="0E1A3722"/>
    <w:lvl w:ilvl="0" w:tplc="0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6CE546E"/>
    <w:multiLevelType w:val="hybridMultilevel"/>
    <w:tmpl w:val="C75A8574"/>
    <w:lvl w:ilvl="0" w:tplc="0F3E0CDC">
      <w:start w:val="4"/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3" w15:restartNumberingAfterBreak="0">
    <w:nsid w:val="6D134C9F"/>
    <w:multiLevelType w:val="hybridMultilevel"/>
    <w:tmpl w:val="4B042E5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68029D"/>
    <w:multiLevelType w:val="hybridMultilevel"/>
    <w:tmpl w:val="061E10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C7F9D"/>
    <w:multiLevelType w:val="hybridMultilevel"/>
    <w:tmpl w:val="F7925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15"/>
  </w:num>
  <w:num w:numId="13">
    <w:abstractNumId w:val="7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CD"/>
    <w:rsid w:val="000668CC"/>
    <w:rsid w:val="000B3D58"/>
    <w:rsid w:val="000D0D16"/>
    <w:rsid w:val="000E4E9A"/>
    <w:rsid w:val="00197512"/>
    <w:rsid w:val="001D4C9D"/>
    <w:rsid w:val="00212F32"/>
    <w:rsid w:val="002203EA"/>
    <w:rsid w:val="00224454"/>
    <w:rsid w:val="002B0EB6"/>
    <w:rsid w:val="002D5EB0"/>
    <w:rsid w:val="00324E10"/>
    <w:rsid w:val="00327BDC"/>
    <w:rsid w:val="0035029E"/>
    <w:rsid w:val="003567C8"/>
    <w:rsid w:val="0037403C"/>
    <w:rsid w:val="00381696"/>
    <w:rsid w:val="00396258"/>
    <w:rsid w:val="003D204F"/>
    <w:rsid w:val="003F265D"/>
    <w:rsid w:val="00457428"/>
    <w:rsid w:val="00467D34"/>
    <w:rsid w:val="00485BB4"/>
    <w:rsid w:val="004B5868"/>
    <w:rsid w:val="004C603C"/>
    <w:rsid w:val="004F67B2"/>
    <w:rsid w:val="00504203"/>
    <w:rsid w:val="00551BB7"/>
    <w:rsid w:val="005A4856"/>
    <w:rsid w:val="005F0DCD"/>
    <w:rsid w:val="006220AF"/>
    <w:rsid w:val="0064738F"/>
    <w:rsid w:val="00660454"/>
    <w:rsid w:val="006D0083"/>
    <w:rsid w:val="006D2836"/>
    <w:rsid w:val="00746960"/>
    <w:rsid w:val="007B4691"/>
    <w:rsid w:val="007D0FAA"/>
    <w:rsid w:val="0080663F"/>
    <w:rsid w:val="008610F1"/>
    <w:rsid w:val="00873AFB"/>
    <w:rsid w:val="008B1311"/>
    <w:rsid w:val="008B51C0"/>
    <w:rsid w:val="008C498E"/>
    <w:rsid w:val="008D52C5"/>
    <w:rsid w:val="00900B6A"/>
    <w:rsid w:val="00943C1D"/>
    <w:rsid w:val="00957C7E"/>
    <w:rsid w:val="009B6422"/>
    <w:rsid w:val="009D774E"/>
    <w:rsid w:val="00A22A58"/>
    <w:rsid w:val="00A423B0"/>
    <w:rsid w:val="00A42FE1"/>
    <w:rsid w:val="00A47533"/>
    <w:rsid w:val="00A7570A"/>
    <w:rsid w:val="00A865EC"/>
    <w:rsid w:val="00AE23F7"/>
    <w:rsid w:val="00B47CF6"/>
    <w:rsid w:val="00B63423"/>
    <w:rsid w:val="00B80F43"/>
    <w:rsid w:val="00BB0E69"/>
    <w:rsid w:val="00BC27DB"/>
    <w:rsid w:val="00C03063"/>
    <w:rsid w:val="00C3181C"/>
    <w:rsid w:val="00C34804"/>
    <w:rsid w:val="00C76C0B"/>
    <w:rsid w:val="00CC4368"/>
    <w:rsid w:val="00CE1397"/>
    <w:rsid w:val="00CF312A"/>
    <w:rsid w:val="00D63641"/>
    <w:rsid w:val="00DA3CD2"/>
    <w:rsid w:val="00DB1886"/>
    <w:rsid w:val="00DF2D03"/>
    <w:rsid w:val="00E3271E"/>
    <w:rsid w:val="00E91CCB"/>
    <w:rsid w:val="00EC6CE8"/>
    <w:rsid w:val="00EF1720"/>
    <w:rsid w:val="00EF2F0A"/>
    <w:rsid w:val="00EF32C9"/>
    <w:rsid w:val="00F0353E"/>
    <w:rsid w:val="00F12DE2"/>
    <w:rsid w:val="00F74138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390E"/>
  <w15:chartTrackingRefBased/>
  <w15:docId w15:val="{AC7A4368-2036-4E6C-AA89-BF33584A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2A58"/>
    <w:pPr>
      <w:ind w:left="720"/>
      <w:contextualSpacing/>
    </w:pPr>
  </w:style>
  <w:style w:type="character" w:customStyle="1" w:styleId="fontstyle01">
    <w:name w:val="fontstyle01"/>
    <w:basedOn w:val="Zadanifontodlomka"/>
    <w:rsid w:val="00E91CCB"/>
    <w:rPr>
      <w:rFonts w:ascii="CIDFont+F2" w:hAnsi="CIDFont+F2" w:hint="default"/>
      <w:b w:val="0"/>
      <w:bCs w:val="0"/>
      <w:i w:val="0"/>
      <w:iCs w:val="0"/>
      <w:color w:val="000000"/>
      <w:sz w:val="16"/>
      <w:szCs w:val="16"/>
    </w:rPr>
  </w:style>
  <w:style w:type="table" w:styleId="Reetkatablice">
    <w:name w:val="Table Grid"/>
    <w:basedOn w:val="Obinatablica"/>
    <w:uiPriority w:val="59"/>
    <w:rsid w:val="00EF2F0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74667">
    <w:name w:val="box_474667"/>
    <w:basedOn w:val="Normal"/>
    <w:rsid w:val="00A7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BB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5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1BB7"/>
  </w:style>
  <w:style w:type="paragraph" w:styleId="Podnoje">
    <w:name w:val="footer"/>
    <w:basedOn w:val="Normal"/>
    <w:link w:val="PodnojeChar"/>
    <w:uiPriority w:val="99"/>
    <w:unhideWhenUsed/>
    <w:rsid w:val="0055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5139</Words>
  <Characters>29297</Characters>
  <Application>Microsoft Office Word</Application>
  <DocSecurity>0</DocSecurity>
  <Lines>244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4</cp:revision>
  <cp:lastPrinted>2023-09-29T07:24:00Z</cp:lastPrinted>
  <dcterms:created xsi:type="dcterms:W3CDTF">2023-09-28T17:46:00Z</dcterms:created>
  <dcterms:modified xsi:type="dcterms:W3CDTF">2023-09-29T07:31:00Z</dcterms:modified>
</cp:coreProperties>
</file>