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0A" w:rsidRDefault="00D0610A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REPUBLIKA HRVATSKA                          </w:t>
      </w:r>
      <w:r w:rsidRPr="00D17D16"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ZADARSKA ŽUPANIJA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      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RKP:  35118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OPĆINA PRIVLAKA                            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</w:t>
      </w:r>
      <w:r w:rsidR="00FB7E6D" w:rsidRPr="00D17D16">
        <w:rPr>
          <w:rFonts w:ascii="Times New Roman" w:hAnsi="Times New Roman"/>
          <w:sz w:val="24"/>
          <w:szCs w:val="24"/>
        </w:rPr>
        <w:t xml:space="preserve">Žiro račun: </w:t>
      </w:r>
      <w:r w:rsidR="00CF4B42" w:rsidRPr="00D17D16">
        <w:rPr>
          <w:rFonts w:ascii="Times New Roman" w:hAnsi="Times New Roman"/>
          <w:sz w:val="24"/>
          <w:szCs w:val="24"/>
        </w:rPr>
        <w:t>2390001</w:t>
      </w:r>
      <w:r w:rsidR="00FB7E6D" w:rsidRPr="00D17D16">
        <w:rPr>
          <w:rFonts w:ascii="Times New Roman" w:hAnsi="Times New Roman"/>
          <w:sz w:val="24"/>
          <w:szCs w:val="24"/>
        </w:rPr>
        <w:t xml:space="preserve"> </w:t>
      </w:r>
      <w:r w:rsidR="00CF4B42" w:rsidRPr="00D17D16">
        <w:rPr>
          <w:rFonts w:ascii="Times New Roman" w:hAnsi="Times New Roman"/>
          <w:sz w:val="24"/>
          <w:szCs w:val="24"/>
        </w:rPr>
        <w:t>1857400004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</w:t>
      </w:r>
      <w:r w:rsidRPr="00D17D16"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CF4B42" w:rsidRPr="00D17D16" w:rsidRDefault="00CF4B42" w:rsidP="00D17D16">
      <w:pPr>
        <w:tabs>
          <w:tab w:val="left" w:pos="5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Ivana Pavla II 46</w:t>
      </w:r>
    </w:p>
    <w:p w:rsidR="00EB02E1" w:rsidRPr="00D17D16" w:rsidRDefault="00CF4B42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23 233 </w:t>
      </w:r>
      <w:proofErr w:type="spellStart"/>
      <w:r w:rsidRPr="00D17D16">
        <w:rPr>
          <w:rFonts w:ascii="Times New Roman" w:hAnsi="Times New Roman"/>
          <w:sz w:val="24"/>
          <w:szCs w:val="24"/>
        </w:rPr>
        <w:t>Privlaka</w:t>
      </w:r>
      <w:proofErr w:type="spellEnd"/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</w:t>
      </w:r>
      <w:r w:rsidR="00EB02E1" w:rsidRPr="00D17D16">
        <w:rPr>
          <w:rFonts w:ascii="Times New Roman" w:hAnsi="Times New Roman"/>
          <w:sz w:val="24"/>
          <w:szCs w:val="24"/>
        </w:rPr>
        <w:t>OIB:   86291327705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  <w:t xml:space="preserve">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CBA" w:rsidRPr="00D17D16" w:rsidRDefault="00EB02E1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BILJEŠKE 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UZ  FINANCIJSK</w:t>
      </w:r>
      <w:r w:rsidR="00CF4B42" w:rsidRPr="00D17D16">
        <w:rPr>
          <w:rFonts w:ascii="Times New Roman" w:hAnsi="Times New Roman"/>
          <w:b/>
          <w:sz w:val="24"/>
          <w:szCs w:val="24"/>
        </w:rPr>
        <w:t>E</w:t>
      </w:r>
      <w:r w:rsidRPr="00D17D16">
        <w:rPr>
          <w:rFonts w:ascii="Times New Roman" w:hAnsi="Times New Roman"/>
          <w:b/>
          <w:sz w:val="24"/>
          <w:szCs w:val="24"/>
        </w:rPr>
        <w:t xml:space="preserve"> IZVJEŠ</w:t>
      </w:r>
      <w:r w:rsidR="00CF4B42" w:rsidRPr="00D17D16">
        <w:rPr>
          <w:rFonts w:ascii="Times New Roman" w:hAnsi="Times New Roman"/>
          <w:b/>
          <w:sz w:val="24"/>
          <w:szCs w:val="24"/>
        </w:rPr>
        <w:t>TAJE</w:t>
      </w:r>
      <w:r w:rsidRPr="00D17D16">
        <w:rPr>
          <w:rFonts w:ascii="Times New Roman" w:hAnsi="Times New Roman"/>
          <w:b/>
          <w:sz w:val="24"/>
          <w:szCs w:val="24"/>
        </w:rPr>
        <w:t xml:space="preserve"> ZA </w:t>
      </w:r>
      <w:r w:rsidR="00D44CBA" w:rsidRPr="00D17D16">
        <w:rPr>
          <w:rFonts w:ascii="Times New Roman" w:hAnsi="Times New Roman"/>
          <w:b/>
          <w:sz w:val="24"/>
          <w:szCs w:val="24"/>
        </w:rPr>
        <w:t>20</w:t>
      </w:r>
      <w:r w:rsidR="002D1D66" w:rsidRPr="00D17D16">
        <w:rPr>
          <w:rFonts w:ascii="Times New Roman" w:hAnsi="Times New Roman"/>
          <w:b/>
          <w:sz w:val="24"/>
          <w:szCs w:val="24"/>
        </w:rPr>
        <w:t>2</w:t>
      </w:r>
      <w:r w:rsidR="00090DA8" w:rsidRPr="00D17D16">
        <w:rPr>
          <w:rFonts w:ascii="Times New Roman" w:hAnsi="Times New Roman"/>
          <w:b/>
          <w:sz w:val="24"/>
          <w:szCs w:val="24"/>
        </w:rPr>
        <w:t>2</w:t>
      </w:r>
      <w:r w:rsidR="00D44CBA" w:rsidRPr="00D17D16">
        <w:rPr>
          <w:rFonts w:ascii="Times New Roman" w:hAnsi="Times New Roman"/>
          <w:b/>
          <w:sz w:val="24"/>
          <w:szCs w:val="24"/>
        </w:rPr>
        <w:t>. GODINU</w:t>
      </w:r>
    </w:p>
    <w:p w:rsidR="00EB02E1" w:rsidRPr="00D17D16" w:rsidRDefault="00EB02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D17D16" w:rsidRDefault="00EB02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5744" w:rsidRPr="00D17D16" w:rsidRDefault="0089574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Financijsko izvješće za razdoblje od</w:t>
      </w:r>
      <w:r w:rsidR="00CF4B42"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01. siječnja do 31. prosinca 20</w:t>
      </w:r>
      <w:r w:rsidR="006261B6" w:rsidRPr="00D17D1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90DA8" w:rsidRPr="00D17D1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CF4B42"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sastavlja se sukladno </w:t>
      </w:r>
      <w:r w:rsidR="00EB02E1" w:rsidRPr="00D17D16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</w:t>
      </w:r>
      <w:r w:rsidR="000F5FE0"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ju u proračunskom računovodstvu </w:t>
      </w:r>
      <w:r w:rsidR="00AD2692" w:rsidRPr="00D17D16">
        <w:rPr>
          <w:rFonts w:ascii="Times New Roman" w:hAnsi="Times New Roman"/>
          <w:sz w:val="24"/>
          <w:szCs w:val="24"/>
        </w:rPr>
        <w:t>(„Narodne novine“ broj 3/15, 93/15, 135/15, 2/17, 28/17, 112/18,126/19, 145/20, 32/21 i 144/21)</w:t>
      </w:r>
      <w:r w:rsidR="00EB02E1"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 predaji financijskih izvještaja jedinica lokalne i područne (regionalne) samouprave, proračunskih i izvanproračunskih korisnika proračuna jedinca lokalne i područne (regionalne) samouprave za razdoblje od 1. siječnja do 31. prosinca 20</w:t>
      </w:r>
      <w:r w:rsidR="00BF66EC" w:rsidRPr="00D17D1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E250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B02E1" w:rsidRPr="00D17D16">
        <w:rPr>
          <w:rFonts w:ascii="Times New Roman" w:eastAsia="Times New Roman" w:hAnsi="Times New Roman"/>
          <w:sz w:val="24"/>
          <w:szCs w:val="24"/>
          <w:lang w:eastAsia="hr-HR"/>
        </w:rPr>
        <w:t>. godine, objavljene od strane Ministarstva financija</w:t>
      </w:r>
      <w:r w:rsidR="002411AD" w:rsidRPr="00D17D16">
        <w:rPr>
          <w:rFonts w:ascii="Times New Roman" w:eastAsia="Times New Roman" w:hAnsi="Times New Roman"/>
          <w:sz w:val="24"/>
          <w:szCs w:val="24"/>
          <w:lang w:eastAsia="hr-HR"/>
        </w:rPr>
        <w:t>, a sastoji se od: Izvještaja o prihodima i rashodima, primicima i izdacima (Obrazac PR-RAS), Izvještaja o obvezama (Obrazac OBVEZE), Bilance (Obrazac BIL), Izvještaja o promjenama u vrijednosti i obujmu imovine i obveza (Obrazac P-VRIO) i Izvještaja o rashodima prema funkcijskoj klasifikaciji (Obrazac RAS-funkcijski).</w:t>
      </w:r>
    </w:p>
    <w:p w:rsidR="000E14AE" w:rsidRPr="00D17D16" w:rsidRDefault="000E14AE" w:rsidP="00D17D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02E1" w:rsidRPr="00D17D16" w:rsidRDefault="000E14A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Stanje novčanih sredstava na žiro računu na dan 3</w:t>
      </w:r>
      <w:r w:rsidR="00090DA8" w:rsidRPr="00D17D16">
        <w:rPr>
          <w:rFonts w:ascii="Times New Roman" w:hAnsi="Times New Roman"/>
          <w:sz w:val="24"/>
          <w:szCs w:val="24"/>
        </w:rPr>
        <w:t>1</w:t>
      </w:r>
      <w:r w:rsidRPr="00D17D16">
        <w:rPr>
          <w:rFonts w:ascii="Times New Roman" w:hAnsi="Times New Roman"/>
          <w:sz w:val="24"/>
          <w:szCs w:val="24"/>
        </w:rPr>
        <w:t>. prosinca 20</w:t>
      </w:r>
      <w:r w:rsidR="00007649" w:rsidRPr="00D17D16">
        <w:rPr>
          <w:rFonts w:ascii="Times New Roman" w:hAnsi="Times New Roman"/>
          <w:sz w:val="24"/>
          <w:szCs w:val="24"/>
        </w:rPr>
        <w:t>2</w:t>
      </w:r>
      <w:r w:rsidR="00090DA8" w:rsidRPr="00D17D16">
        <w:rPr>
          <w:rFonts w:ascii="Times New Roman" w:hAnsi="Times New Roman"/>
          <w:sz w:val="24"/>
          <w:szCs w:val="24"/>
        </w:rPr>
        <w:t>2</w:t>
      </w:r>
      <w:r w:rsidR="00421811" w:rsidRPr="00D17D16">
        <w:rPr>
          <w:rFonts w:ascii="Times New Roman" w:hAnsi="Times New Roman"/>
          <w:sz w:val="24"/>
          <w:szCs w:val="24"/>
        </w:rPr>
        <w:t>.</w:t>
      </w:r>
      <w:r w:rsidRPr="00D17D16">
        <w:rPr>
          <w:rFonts w:ascii="Times New Roman" w:hAnsi="Times New Roman"/>
          <w:sz w:val="24"/>
          <w:szCs w:val="24"/>
        </w:rPr>
        <w:t xml:space="preserve">g iznosi </w:t>
      </w:r>
      <w:r w:rsidR="00090DA8" w:rsidRPr="00D17D16">
        <w:rPr>
          <w:rFonts w:ascii="Times New Roman" w:hAnsi="Times New Roman"/>
          <w:sz w:val="24"/>
          <w:szCs w:val="24"/>
        </w:rPr>
        <w:t>8.659.354,11</w:t>
      </w:r>
      <w:r w:rsidRPr="00D17D16">
        <w:rPr>
          <w:rFonts w:ascii="Times New Roman" w:hAnsi="Times New Roman"/>
          <w:sz w:val="24"/>
          <w:szCs w:val="24"/>
        </w:rPr>
        <w:t xml:space="preserve"> kn.</w:t>
      </w:r>
    </w:p>
    <w:p w:rsidR="000E14AE" w:rsidRPr="00D17D16" w:rsidRDefault="000E14A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Stanje novčanih sredstava u blagajni na dan 31. prosinca 20</w:t>
      </w:r>
      <w:r w:rsidR="00007649" w:rsidRPr="00D17D16">
        <w:rPr>
          <w:rFonts w:ascii="Times New Roman" w:hAnsi="Times New Roman"/>
          <w:sz w:val="24"/>
          <w:szCs w:val="24"/>
        </w:rPr>
        <w:t>2</w:t>
      </w:r>
      <w:r w:rsidR="00421811" w:rsidRPr="00D17D16">
        <w:rPr>
          <w:rFonts w:ascii="Times New Roman" w:hAnsi="Times New Roman"/>
          <w:sz w:val="24"/>
          <w:szCs w:val="24"/>
        </w:rPr>
        <w:t>1</w:t>
      </w:r>
      <w:r w:rsidRPr="00D17D16">
        <w:rPr>
          <w:rFonts w:ascii="Times New Roman" w:hAnsi="Times New Roman"/>
          <w:sz w:val="24"/>
          <w:szCs w:val="24"/>
        </w:rPr>
        <w:t xml:space="preserve">.g. iznosi </w:t>
      </w:r>
      <w:r w:rsidR="00421811" w:rsidRPr="00D17D16">
        <w:rPr>
          <w:rFonts w:ascii="Times New Roman" w:hAnsi="Times New Roman"/>
          <w:sz w:val="24"/>
          <w:szCs w:val="24"/>
        </w:rPr>
        <w:t>1.</w:t>
      </w:r>
      <w:r w:rsidR="00090DA8" w:rsidRPr="00D17D16">
        <w:rPr>
          <w:rFonts w:ascii="Times New Roman" w:hAnsi="Times New Roman"/>
          <w:sz w:val="24"/>
          <w:szCs w:val="24"/>
        </w:rPr>
        <w:t>137,64</w:t>
      </w:r>
      <w:r w:rsidRPr="00D17D16">
        <w:rPr>
          <w:rFonts w:ascii="Times New Roman" w:hAnsi="Times New Roman"/>
          <w:sz w:val="24"/>
          <w:szCs w:val="24"/>
        </w:rPr>
        <w:t xml:space="preserve"> kn.</w:t>
      </w:r>
    </w:p>
    <w:p w:rsidR="000F5FE0" w:rsidRPr="00D17D16" w:rsidRDefault="000F5FE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E0" w:rsidRPr="00D17D16" w:rsidRDefault="000F5FE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Odgovorna osoba proračuna JLP® S je općinski načelnik Gašpar </w:t>
      </w:r>
      <w:proofErr w:type="spellStart"/>
      <w:r w:rsidRPr="00D17D16">
        <w:rPr>
          <w:rFonts w:ascii="Times New Roman" w:hAnsi="Times New Roman"/>
          <w:sz w:val="24"/>
          <w:szCs w:val="24"/>
        </w:rPr>
        <w:t>Begonja</w:t>
      </w:r>
      <w:proofErr w:type="spellEnd"/>
      <w:r w:rsidRPr="00D17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D16">
        <w:rPr>
          <w:rFonts w:ascii="Times New Roman" w:hAnsi="Times New Roman"/>
          <w:sz w:val="24"/>
          <w:szCs w:val="24"/>
        </w:rPr>
        <w:t>dipl.ing</w:t>
      </w:r>
      <w:proofErr w:type="spellEnd"/>
      <w:r w:rsidRPr="00D17D16">
        <w:rPr>
          <w:rFonts w:ascii="Times New Roman" w:hAnsi="Times New Roman"/>
          <w:sz w:val="24"/>
          <w:szCs w:val="24"/>
        </w:rPr>
        <w:t>.</w:t>
      </w:r>
    </w:p>
    <w:p w:rsidR="00090DA8" w:rsidRPr="00D17D16" w:rsidRDefault="00090DA8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D17D16" w:rsidRDefault="002411A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Nastavno se u Bilješkama obrazlažu numerički podaci i veća odstupanja iskazana u obrascima.</w:t>
      </w:r>
    </w:p>
    <w:p w:rsidR="00943567" w:rsidRPr="00D17D16" w:rsidRDefault="0094356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D17D16" w:rsidRDefault="0094356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32642F" w:rsidRDefault="000E14AE" w:rsidP="00D17D16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</w:pP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Bilje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ke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uz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Izvje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taj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rashodima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,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primicima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izdacima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 (</w:t>
      </w:r>
      <w:proofErr w:type="spellStart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Obrazac</w:t>
      </w:r>
      <w:proofErr w:type="spellEnd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: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PR-RAS)</w:t>
      </w:r>
    </w:p>
    <w:p w:rsidR="00AD7609" w:rsidRPr="0032642F" w:rsidRDefault="00AD7609" w:rsidP="00D17D16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5370" w:rsidRPr="0032642F" w:rsidRDefault="002411AD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sz w:val="24"/>
          <w:szCs w:val="24"/>
          <w:lang w:eastAsia="hr-HR"/>
        </w:rPr>
        <w:t>U bilješkama uz Izvještaj o prihodima i rashodima, primicima i izdacima navode se razlozi značajnijih odstupanja od ostvarenja prethodne godine.</w:t>
      </w:r>
    </w:p>
    <w:p w:rsidR="00261E3C" w:rsidRPr="00601DAB" w:rsidRDefault="00261E3C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261E3C" w:rsidRPr="005960B8" w:rsidRDefault="00AD7609" w:rsidP="00D17D16">
      <w:pPr>
        <w:pStyle w:val="Odlomakpopisa"/>
        <w:keepNext/>
        <w:numPr>
          <w:ilvl w:val="1"/>
          <w:numId w:val="15"/>
        </w:numPr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</w:t>
      </w:r>
      <w:r w:rsidR="00C96DBA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PRIMICI 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884FFC" w:rsidRPr="005960B8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1, </w:t>
      </w:r>
      <w:r w:rsidR="0032642F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>šifra 6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5960B8" w:rsidRDefault="00AD760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Prihodi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</w:t>
      </w:r>
      <w:r w:rsidR="00884FFC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32642F" w:rsidRPr="005960B8">
        <w:rPr>
          <w:rFonts w:ascii="Times New Roman" w:eastAsia="Times New Roman" w:hAnsi="Times New Roman"/>
          <w:sz w:val="24"/>
          <w:szCs w:val="24"/>
          <w:lang w:eastAsia="hr-HR"/>
        </w:rPr>
        <w:t>26.675.128,78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što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32642F" w:rsidRPr="005960B8">
        <w:rPr>
          <w:rFonts w:ascii="Times New Roman" w:eastAsia="Times New Roman" w:hAnsi="Times New Roman"/>
          <w:sz w:val="24"/>
          <w:szCs w:val="24"/>
          <w:lang w:eastAsia="hr-HR"/>
        </w:rPr>
        <w:t>22,4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4A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prethodnu proračunsku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958A8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7F5494" w:rsidRPr="005960B8" w:rsidRDefault="00DF60C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 w:rsidRPr="005960B8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958A8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4FFC" w:rsidRPr="005960B8">
        <w:rPr>
          <w:rFonts w:ascii="Times New Roman" w:eastAsia="Times New Roman" w:hAnsi="Times New Roman"/>
          <w:sz w:val="24"/>
          <w:szCs w:val="24"/>
          <w:lang w:eastAsia="hr-HR"/>
        </w:rPr>
        <w:t>obrazlaže se kako slijedi</w:t>
      </w:r>
      <w:r w:rsidR="007F5494" w:rsidRPr="005960B8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0094A" w:rsidRPr="00601DAB" w:rsidRDefault="0000094A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84FFC" w:rsidRPr="0032642F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Bilješka broj 2, </w:t>
      </w:r>
      <w:r w:rsidR="0032642F"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>šifra 61</w:t>
      </w:r>
    </w:p>
    <w:p w:rsidR="00884FFC" w:rsidRPr="0032642F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83BD4" w:rsidRPr="0032642F" w:rsidRDefault="00884FFC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Porezi ove skupine su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u odnosu na prethodnu godinu. Glavninu ove skupine prihoda čini porez na promet nekretnina evidenciju i naplatu kojeg vodi Porezi uprava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je ostvaren u iznosu od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8.808.356,70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70,1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 zbog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većeg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prometa nekretninama, dok je porez na nepokretnu imovinu koji se odnosi na porez na kuće za odmor ostvaren u neznatno većem iznosu točnije u iznosu od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1.819.680,39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1,8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9 % više.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Značajan dio čine i prihodi od poreza i prireza na dohodak koji su se ostvarili u iznosu od 4.116.178,79 kuna ili 37,8% više nego u istom razdoblju prethodne godine. Bolja zaposlenost posebno vidljiva u tijeku turističke sezone utjecala je i na naplatu poreza i prireza na dohodak.</w:t>
      </w:r>
    </w:p>
    <w:p w:rsidR="00E83BD4" w:rsidRPr="0032642F" w:rsidRDefault="00E83BD4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955" w:rsidRPr="0032642F" w:rsidRDefault="008E095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3, </w:t>
      </w:r>
      <w:r w:rsidR="0032642F"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>šifra 6142</w:t>
      </w:r>
    </w:p>
    <w:p w:rsidR="00E83BD4" w:rsidRPr="0032642F" w:rsidRDefault="00E83BD4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D38" w:rsidRPr="0032642F" w:rsidRDefault="008E095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poreza ove skupine odnose se na 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poreza na promet odnose se na porez na potrošnju alkoholnih i bezalkoholnih pića koji je ostvaren u iznosu od </w:t>
      </w:r>
      <w:r w:rsidR="0032642F" w:rsidRPr="0032642F">
        <w:rPr>
          <w:rFonts w:ascii="Times New Roman" w:hAnsi="Times New Roman" w:cs="Times New Roman"/>
          <w:sz w:val="24"/>
          <w:szCs w:val="24"/>
        </w:rPr>
        <w:t>96.585,04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 kn </w:t>
      </w:r>
      <w:r w:rsidR="00C32D38" w:rsidRPr="0032642F">
        <w:rPr>
          <w:rFonts w:ascii="Times New Roman" w:hAnsi="Times New Roman" w:cs="Times New Roman"/>
          <w:sz w:val="24"/>
          <w:szCs w:val="24"/>
        </w:rPr>
        <w:t>š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to je znatno </w:t>
      </w:r>
      <w:r w:rsidR="00C32D38" w:rsidRPr="0032642F">
        <w:rPr>
          <w:rFonts w:ascii="Times New Roman" w:hAnsi="Times New Roman" w:cs="Times New Roman"/>
          <w:sz w:val="24"/>
          <w:szCs w:val="24"/>
        </w:rPr>
        <w:t>više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32D38" w:rsidRPr="0032642F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32642F" w:rsidRPr="0032642F">
        <w:rPr>
          <w:rFonts w:ascii="Times New Roman" w:hAnsi="Times New Roman" w:cs="Times New Roman"/>
          <w:sz w:val="24"/>
          <w:szCs w:val="24"/>
        </w:rPr>
        <w:t xml:space="preserve">se u  prethodnoj godini pogotovo u prva tri mjeseca osjećala još uvijek posljedica </w:t>
      </w:r>
      <w:proofErr w:type="spellStart"/>
      <w:r w:rsidR="0032642F" w:rsidRPr="0032642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32642F" w:rsidRPr="0032642F">
        <w:rPr>
          <w:rFonts w:ascii="Times New Roman" w:hAnsi="Times New Roman" w:cs="Times New Roman"/>
          <w:sz w:val="24"/>
          <w:szCs w:val="24"/>
        </w:rPr>
        <w:t>, a i dobra turistička sezona donijela je i veće prihode s ove osnove.</w:t>
      </w:r>
    </w:p>
    <w:p w:rsidR="00C32D38" w:rsidRPr="00601DAB" w:rsidRDefault="00C32D38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5FAF" w:rsidRPr="003E5ADD" w:rsidRDefault="00275F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E0955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32642F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63</w:t>
      </w:r>
    </w:p>
    <w:p w:rsidR="00275FAF" w:rsidRPr="003E5ADD" w:rsidRDefault="00275FA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0E7E" w:rsidRPr="003E5ADD" w:rsidRDefault="00275FAF" w:rsidP="00D17D1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>omoći</w:t>
      </w:r>
      <w:r w:rsidR="005304D3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198B" w:rsidRPr="003E5ADD">
        <w:rPr>
          <w:rFonts w:ascii="Times New Roman" w:eastAsia="Times New Roman" w:hAnsi="Times New Roman"/>
          <w:sz w:val="24"/>
          <w:szCs w:val="24"/>
          <w:lang w:eastAsia="hr-HR"/>
        </w:rPr>
        <w:t>iz inozemstva i od subjekata unutar općeg proračuna</w:t>
      </w:r>
      <w:r w:rsidR="000542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5304D3" w:rsidRPr="003E5ADD">
        <w:rPr>
          <w:rFonts w:ascii="Times New Roman" w:eastAsia="Times New Roman" w:hAnsi="Times New Roman"/>
          <w:sz w:val="24"/>
          <w:szCs w:val="24"/>
          <w:lang w:eastAsia="hr-HR"/>
        </w:rPr>
        <w:t>ost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 w:rsidR="0024198B" w:rsidRPr="003E5AD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</w:t>
      </w:r>
      <w:r w:rsidR="000542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2642F" w:rsidRPr="003E5ADD">
        <w:rPr>
          <w:rFonts w:ascii="Times New Roman" w:eastAsia="Times New Roman" w:hAnsi="Times New Roman"/>
          <w:sz w:val="24"/>
          <w:szCs w:val="24"/>
          <w:lang w:eastAsia="hr-HR"/>
        </w:rPr>
        <w:t>2.445.458,49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32642F" w:rsidRPr="003E5ADD">
        <w:rPr>
          <w:rFonts w:ascii="Times New Roman" w:eastAsia="Times New Roman" w:hAnsi="Times New Roman"/>
          <w:sz w:val="24"/>
          <w:szCs w:val="24"/>
          <w:lang w:eastAsia="hr-HR"/>
        </w:rPr>
        <w:t>za 32,9%</w:t>
      </w:r>
      <w:r w:rsidR="008E0955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više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>prethodnu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</w:t>
      </w:r>
      <w:r w:rsidR="00642FB1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je izmjenama Zakona o porezu na dohodak </w:t>
      </w:r>
      <w:r w:rsidR="00642FB1" w:rsidRPr="003E5ADD">
        <w:rPr>
          <w:rFonts w:ascii="Times New Roman" w:eastAsiaTheme="minorHAnsi" w:hAnsi="Times New Roman"/>
          <w:sz w:val="24"/>
          <w:szCs w:val="24"/>
        </w:rPr>
        <w:t xml:space="preserve">(Narodne novine, broj 138/20) umjesto udjela fiskalnog izravnanja od 17%, koji se izdvaja iz poreza na dohodak, propisano da se sredstva fiskalnog izravnanja osiguravaju u državnom proračunu. </w:t>
      </w:r>
      <w:r w:rsidR="00642FB1" w:rsidRPr="003E5ADD">
        <w:rPr>
          <w:rFonts w:ascii="Times New Roman" w:hAnsi="Times New Roman"/>
          <w:sz w:val="24"/>
          <w:szCs w:val="24"/>
        </w:rPr>
        <w:t>Slijedom navedenog, sredstva fiskalnog izravnanja osigurana u državnom proračunu koja su se evidentirala kao prihod od poreza na dohodak u okviru podskupine računa 611 Porez i prirez na dohodak i to kao nenamjenski prihod, evidentiraju se u okviru osnovnog računa 63311 Tekuće pomoći iz državnog proračuna</w:t>
      </w:r>
      <w:r w:rsidR="00790FBC" w:rsidRPr="003E5ADD">
        <w:rPr>
          <w:rFonts w:ascii="Times New Roman" w:hAnsi="Times New Roman"/>
          <w:sz w:val="24"/>
          <w:szCs w:val="24"/>
        </w:rPr>
        <w:t xml:space="preserve"> te su u 2021. godini ostvarene u iznosu od </w:t>
      </w:r>
      <w:r w:rsidR="0032642F" w:rsidRPr="003E5ADD">
        <w:rPr>
          <w:rFonts w:ascii="Times New Roman" w:hAnsi="Times New Roman"/>
          <w:sz w:val="24"/>
          <w:szCs w:val="24"/>
        </w:rPr>
        <w:t>1.170.458,49</w:t>
      </w:r>
      <w:r w:rsidR="00790FBC" w:rsidRPr="003E5ADD">
        <w:rPr>
          <w:rFonts w:ascii="Times New Roman" w:hAnsi="Times New Roman"/>
          <w:sz w:val="24"/>
          <w:szCs w:val="24"/>
        </w:rPr>
        <w:t xml:space="preserve"> kn.</w:t>
      </w:r>
      <w:r w:rsidR="00110E7E" w:rsidRPr="003E5ADD">
        <w:rPr>
          <w:rFonts w:ascii="Times New Roman" w:hAnsi="Times New Roman"/>
          <w:sz w:val="24"/>
          <w:szCs w:val="24"/>
        </w:rPr>
        <w:t xml:space="preserve"> Nadalje, pomoći iz inozemstva i od subjekata unutar općeg proračuna odnose se na:</w:t>
      </w:r>
    </w:p>
    <w:p w:rsidR="000C7DDD" w:rsidRPr="003E5ADD" w:rsidRDefault="008E6CA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AD7609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 w:rsidR="00F544D7" w:rsidRPr="003E5ADD">
        <w:rPr>
          <w:rFonts w:ascii="Times New Roman" w:hAnsi="Times New Roman" w:cs="Times New Roman"/>
          <w:sz w:val="24"/>
          <w:szCs w:val="24"/>
          <w:lang w:eastAsia="hr-HR"/>
        </w:rPr>
        <w:t>Županijskog proračuna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u iznosu od </w:t>
      </w:r>
      <w:r w:rsidR="0032642F" w:rsidRPr="003E5ADD">
        <w:rPr>
          <w:rFonts w:ascii="Times New Roman" w:hAnsi="Times New Roman" w:cs="Times New Roman"/>
          <w:sz w:val="24"/>
          <w:szCs w:val="24"/>
          <w:lang w:eastAsia="hr-HR"/>
        </w:rPr>
        <w:t>125.000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D7609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od koji se </w:t>
      </w:r>
      <w:r w:rsidRPr="003E5ADD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6A3F88" w:rsidRPr="003E5ADD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>.000 kn odnos</w:t>
      </w:r>
      <w:r w:rsidRPr="003E5ADD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A3F88" w:rsidRPr="003E5ADD">
        <w:rPr>
          <w:rFonts w:ascii="Times New Roman" w:hAnsi="Times New Roman" w:cs="Times New Roman"/>
          <w:sz w:val="24"/>
          <w:szCs w:val="24"/>
          <w:lang w:eastAsia="hr-HR"/>
        </w:rPr>
        <w:t>na uređenje plaža</w:t>
      </w:r>
    </w:p>
    <w:p w:rsidR="0032642F" w:rsidRPr="003E5ADD" w:rsidRDefault="0032642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c) kapitalne pomoći iz državnog </w:t>
      </w:r>
      <w:proofErr w:type="spellStart"/>
      <w:r w:rsidRPr="003E5ADD">
        <w:rPr>
          <w:rFonts w:ascii="Times New Roman" w:hAnsi="Times New Roman" w:cs="Times New Roman"/>
          <w:sz w:val="24"/>
          <w:szCs w:val="24"/>
          <w:lang w:eastAsia="hr-HR"/>
        </w:rPr>
        <w:t>prorčuna</w:t>
      </w:r>
      <w:proofErr w:type="spellEnd"/>
      <w:r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u iznosu od 1.150.000,00 kuna</w:t>
      </w:r>
      <w:r w:rsidR="003E5A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( Ministarstvo turizma i sporta te Ministarstvo prometa, pomorstva i infrastrukture)</w:t>
      </w:r>
    </w:p>
    <w:p w:rsidR="003E5ADD" w:rsidRPr="003E5ADD" w:rsidRDefault="003E5AD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>Upravo zbog doznaka iz Ministarstva kao kapitalne pomoći ostvarenje bilježi veći rast u odnosu na lani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E5ADD" w:rsidRPr="00601DAB" w:rsidRDefault="003E5ADD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654CC2" w:rsidRPr="003E5ADD" w:rsidRDefault="00654CC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5 </w:t>
      </w:r>
      <w:r w:rsidR="003E5A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634</w:t>
      </w:r>
    </w:p>
    <w:p w:rsidR="00654CC2" w:rsidRPr="003E5ADD" w:rsidRDefault="00654CC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54CC2" w:rsidRPr="003E5ADD" w:rsidRDefault="00502E3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>Pomoći od izvan proračunskih korisnika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nisu se u 2022.godini ostvarile i nema usporednu veličinu sa prethodnom godinom </w:t>
      </w:r>
      <w:proofErr w:type="spellStart"/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kadaje</w:t>
      </w:r>
      <w:proofErr w:type="spellEnd"/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evidentirana 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pomoć Županijske uprave za ceste</w:t>
      </w:r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u iznosu od 455.641 kn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, a sve </w:t>
      </w:r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Ugovora o sufinanciranju nogostupa županijske ceste Ž6273 kroz naselje </w:t>
      </w:r>
      <w:proofErr w:type="spellStart"/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54CC2" w:rsidRPr="00601DAB" w:rsidRDefault="00654CC2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0C7DDD" w:rsidRPr="003E5ADD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9365C3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 </w:t>
      </w:r>
      <w:r w:rsidR="003E5A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64</w:t>
      </w:r>
    </w:p>
    <w:p w:rsidR="000C7DDD" w:rsidRPr="003E5ADD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73AFF" w:rsidRPr="003E5ADD" w:rsidRDefault="000C7DDD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imovine 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390.878,00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predstavlja 77% prošlogodišnje realizacije. Odstupanje nastaje iz razloga što su se prethodne godine 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naplatile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zatezn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kamate 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za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>omunalne doprinos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e za novogradnju što ove 2022.godine nije bilo.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Navedeni prihodi obuhvaćaju i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naknade za</w:t>
      </w:r>
      <w:r w:rsidR="003B343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koncesije koje čine glavninu </w:t>
      </w:r>
      <w:r w:rsidR="00DF34F0" w:rsidRPr="003E5ADD">
        <w:rPr>
          <w:rFonts w:ascii="Times New Roman" w:eastAsia="Times New Roman" w:hAnsi="Times New Roman"/>
          <w:sz w:val="24"/>
          <w:szCs w:val="24"/>
          <w:lang w:eastAsia="hr-HR"/>
        </w:rPr>
        <w:t>istih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, a ostvareni su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222.915,30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prethodnu godinu zbog većeg broja izdanih koncesijskih odobrenja. Ostali prihodi od nefinancijske imovine odnose se na naknadu za nezakonito zadržavanje zgrade u prostoru te su ostvareni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10.858,36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je manje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 godinu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budući da i sam proces legalizacije polako završava.</w:t>
      </w:r>
    </w:p>
    <w:p w:rsidR="000C7DDD" w:rsidRPr="00601DAB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B7602" w:rsidRPr="00067C75" w:rsidRDefault="009B760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F34F0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3E5ADD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šifra 65</w:t>
      </w:r>
    </w:p>
    <w:p w:rsidR="000C7DDD" w:rsidRPr="00067C75" w:rsidRDefault="000C7DD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7602" w:rsidRPr="00067C75" w:rsidRDefault="00B614BE" w:rsidP="003E5A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Usporedbom podataka možemo zaključiti da su prihodi od upravnih i administrativnih pristojbi, pristojbi po posebnim propisima i naknada </w:t>
      </w:r>
      <w:r w:rsidR="003E5ADD" w:rsidRPr="00067C75">
        <w:rPr>
          <w:rFonts w:ascii="Times New Roman" w:eastAsia="Times New Roman" w:hAnsi="Times New Roman"/>
          <w:sz w:val="24"/>
          <w:szCs w:val="24"/>
          <w:lang w:eastAsia="hr-HR"/>
        </w:rPr>
        <w:t>izvršeni 95,6% u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prethodnu godinu</w:t>
      </w:r>
      <w:r w:rsidR="003E5ADD" w:rsidRPr="00067C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Značajnija odstupanja bilježimo na šifri 6511-državne i sudske pristojbe</w:t>
      </w:r>
      <w:r w:rsidR="00F80FC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koje su ostvarene u iznosu od 26.495,35 kuna u vidu nadoknada troškova po presudi. Boravišna pristojba također je bolje naplaćena, ali i ostali nespomenuti prihodi (prihodi od Hrvatski voda i dužnika općine).</w:t>
      </w:r>
    </w:p>
    <w:p w:rsidR="009B7602" w:rsidRPr="00601DAB" w:rsidRDefault="009B7602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3F2B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</w:t>
      </w:r>
      <w:r w:rsidR="00346B8A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8</w:t>
      </w: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067C75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šifra 68</w:t>
      </w:r>
    </w:p>
    <w:p w:rsidR="00AA3F2B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144F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Kazne, upravne mjere i ostali prihodi ostvareni su u iznosu od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36.477,84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znatno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manje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</w:t>
      </w:r>
      <w:r w:rsidR="00346B8A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46B8A" w:rsidRPr="00067C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godinu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posebno vidljiv na kontu 683-ostali prihodi , no naplata kazni od strane </w:t>
      </w:r>
      <w:r w:rsid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prometnih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redara donijela je bolju naplatu u odnosu na prethodnu godinu.</w:t>
      </w:r>
    </w:p>
    <w:p w:rsidR="0058144F" w:rsidRPr="00601DAB" w:rsidRDefault="0058144F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A3F2B" w:rsidRPr="006C4747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E31DB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067C75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7</w:t>
      </w:r>
    </w:p>
    <w:p w:rsidR="00AA3F2B" w:rsidRPr="006C4747" w:rsidRDefault="00AA3F2B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3F2B" w:rsidRPr="006C4747" w:rsidRDefault="00AA3F2B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>Prihodi od prodaje nefinancijske imovine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u ovom izvještajnom razdoblju ostvareni su u iznosu od 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>467.890,20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za 81%</w:t>
      </w:r>
      <w:r w:rsidR="007656D1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više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>u odnosu na isto izvještajno razdoblje prethodne godine. Navedeni prihodi odnose se na prihod od prodaje materij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>alne imovine, točnije zemljišta, ali i stambenih objekata, sve prema kupoprodajnom ugovoru.</w:t>
      </w:r>
    </w:p>
    <w:p w:rsidR="002958A8" w:rsidRPr="006C4747" w:rsidRDefault="002958A8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Pr="006C4747" w:rsidRDefault="008945F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10, </w:t>
      </w:r>
      <w:r w:rsidR="006C4747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8</w:t>
      </w: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Primici od zaduživanja ostvareni su u iznosu od 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9.162.197,86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kn,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nominalno više za 8.030.241,86 kuna u odnosu na prethodnu godinu,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primljeni iznos kredita od Zagrebačke banke d.d. za Izgradnju i opre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manje Dječjeg vrtića u </w:t>
      </w:r>
      <w:proofErr w:type="spellStart"/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(9.161.754,55 kuna). Iznos od 443,31 kuna odnosi se na evidentiranje neotplaćenog poreza i prireza na dohodak po godišnjoj prijavi za 2021.godinu, a sve prema Izvještaju koji je raspoloživ na stranicama Ministarstva financija.</w:t>
      </w: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601DAB" w:rsidRDefault="0094356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44D19" w:rsidRPr="00F76226" w:rsidRDefault="002958A8" w:rsidP="00D17D16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226"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F76226">
        <w:rPr>
          <w:rFonts w:ascii="Times New Roman" w:hAnsi="Times New Roman"/>
          <w:b/>
          <w:sz w:val="24"/>
          <w:szCs w:val="24"/>
        </w:rPr>
        <w:t>RASHODI</w:t>
      </w:r>
      <w:r w:rsidR="008945F7" w:rsidRPr="00F76226">
        <w:rPr>
          <w:rFonts w:ascii="Times New Roman" w:hAnsi="Times New Roman"/>
          <w:b/>
          <w:sz w:val="24"/>
          <w:szCs w:val="24"/>
        </w:rPr>
        <w:t xml:space="preserve"> I IZDACI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EE2" w:rsidRPr="00F76226" w:rsidRDefault="00703EE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6468C1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8A3920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76226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šifra 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D19" w:rsidRPr="00F76226" w:rsidRDefault="00844D19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26">
        <w:rPr>
          <w:rFonts w:ascii="Times New Roman" w:hAnsi="Times New Roman"/>
          <w:sz w:val="24"/>
          <w:szCs w:val="24"/>
        </w:rPr>
        <w:t>Rashodi poslo</w:t>
      </w:r>
      <w:r w:rsidR="002958A8" w:rsidRPr="00F76226">
        <w:rPr>
          <w:rFonts w:ascii="Times New Roman" w:hAnsi="Times New Roman"/>
          <w:sz w:val="24"/>
          <w:szCs w:val="24"/>
        </w:rPr>
        <w:t xml:space="preserve">vanja za izvještajno razdoblje </w:t>
      </w:r>
      <w:r w:rsidRPr="00F76226">
        <w:rPr>
          <w:rFonts w:ascii="Times New Roman" w:hAnsi="Times New Roman"/>
          <w:sz w:val="24"/>
          <w:szCs w:val="24"/>
        </w:rPr>
        <w:t xml:space="preserve">ostvareni su u iznosu od </w:t>
      </w:r>
      <w:r w:rsidR="00F76226" w:rsidRPr="00F76226">
        <w:rPr>
          <w:rFonts w:ascii="Times New Roman" w:hAnsi="Times New Roman"/>
          <w:sz w:val="24"/>
          <w:szCs w:val="24"/>
        </w:rPr>
        <w:t>20.228.650,45</w:t>
      </w:r>
      <w:r w:rsidR="008E0022" w:rsidRPr="00F76226">
        <w:rPr>
          <w:rFonts w:ascii="Times New Roman" w:hAnsi="Times New Roman"/>
          <w:sz w:val="24"/>
          <w:szCs w:val="24"/>
        </w:rPr>
        <w:t xml:space="preserve"> kn što je </w:t>
      </w:r>
      <w:r w:rsidR="00F76226" w:rsidRPr="00F76226">
        <w:rPr>
          <w:rFonts w:ascii="Times New Roman" w:hAnsi="Times New Roman"/>
          <w:sz w:val="24"/>
          <w:szCs w:val="24"/>
        </w:rPr>
        <w:t>28,2</w:t>
      </w:r>
      <w:r w:rsidR="0058144F" w:rsidRPr="00F76226">
        <w:rPr>
          <w:rFonts w:ascii="Times New Roman" w:hAnsi="Times New Roman"/>
          <w:sz w:val="24"/>
          <w:szCs w:val="24"/>
        </w:rPr>
        <w:t xml:space="preserve"> </w:t>
      </w:r>
      <w:r w:rsidR="008E0022" w:rsidRPr="00F76226">
        <w:rPr>
          <w:rFonts w:ascii="Times New Roman" w:hAnsi="Times New Roman"/>
          <w:sz w:val="24"/>
          <w:szCs w:val="24"/>
        </w:rPr>
        <w:t xml:space="preserve">% </w:t>
      </w:r>
      <w:r w:rsidR="00DE569F" w:rsidRPr="00F76226">
        <w:rPr>
          <w:rFonts w:ascii="Times New Roman" w:hAnsi="Times New Roman"/>
          <w:sz w:val="24"/>
          <w:szCs w:val="24"/>
        </w:rPr>
        <w:t xml:space="preserve">više </w:t>
      </w:r>
      <w:r w:rsidR="008E0022" w:rsidRPr="00F76226">
        <w:rPr>
          <w:rFonts w:ascii="Times New Roman" w:hAnsi="Times New Roman"/>
          <w:sz w:val="24"/>
          <w:szCs w:val="24"/>
        </w:rPr>
        <w:t xml:space="preserve">u odnosu na </w:t>
      </w:r>
      <w:r w:rsidR="00703EE2" w:rsidRPr="00F76226">
        <w:rPr>
          <w:rFonts w:ascii="Times New Roman" w:hAnsi="Times New Roman"/>
          <w:sz w:val="24"/>
          <w:szCs w:val="24"/>
        </w:rPr>
        <w:t>prethodno izvještajno razdoblje</w:t>
      </w:r>
      <w:r w:rsidR="0058144F" w:rsidRPr="00F76226">
        <w:rPr>
          <w:rFonts w:ascii="Times New Roman" w:hAnsi="Times New Roman"/>
          <w:sz w:val="24"/>
          <w:szCs w:val="24"/>
        </w:rPr>
        <w:t>.</w:t>
      </w:r>
    </w:p>
    <w:p w:rsidR="0058144F" w:rsidRPr="00F76226" w:rsidRDefault="0058144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D19" w:rsidRPr="00F76226" w:rsidRDefault="000003B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26">
        <w:rPr>
          <w:rFonts w:ascii="Times New Roman" w:hAnsi="Times New Roman"/>
          <w:sz w:val="24"/>
          <w:szCs w:val="24"/>
        </w:rPr>
        <w:t>Veća o</w:t>
      </w:r>
      <w:r w:rsidR="00844D19" w:rsidRPr="00F76226">
        <w:rPr>
          <w:rFonts w:ascii="Times New Roman" w:hAnsi="Times New Roman"/>
          <w:sz w:val="24"/>
          <w:szCs w:val="24"/>
        </w:rPr>
        <w:t xml:space="preserve">dstupanja u odnosu na prethodnu </w:t>
      </w:r>
      <w:r w:rsidR="0058144F" w:rsidRPr="00F76226">
        <w:rPr>
          <w:rFonts w:ascii="Times New Roman" w:hAnsi="Times New Roman"/>
          <w:sz w:val="24"/>
          <w:szCs w:val="24"/>
        </w:rPr>
        <w:t>proračunsku</w:t>
      </w:r>
      <w:r w:rsidR="00844D19" w:rsidRPr="00F76226">
        <w:rPr>
          <w:rFonts w:ascii="Times New Roman" w:hAnsi="Times New Roman"/>
          <w:sz w:val="24"/>
          <w:szCs w:val="24"/>
        </w:rPr>
        <w:t xml:space="preserve"> godinu su kod </w:t>
      </w:r>
      <w:r w:rsidR="0058144F" w:rsidRPr="00F76226">
        <w:rPr>
          <w:rFonts w:ascii="Times New Roman" w:hAnsi="Times New Roman"/>
          <w:sz w:val="24"/>
          <w:szCs w:val="24"/>
        </w:rPr>
        <w:t>sljedećih rashoda</w:t>
      </w:r>
      <w:r w:rsidR="00844D19" w:rsidRPr="00F76226">
        <w:rPr>
          <w:rFonts w:ascii="Times New Roman" w:hAnsi="Times New Roman"/>
          <w:sz w:val="24"/>
          <w:szCs w:val="24"/>
        </w:rPr>
        <w:t>: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EE2" w:rsidRPr="00D42D87" w:rsidRDefault="00703EE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6468C1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F76226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312</w:t>
      </w:r>
    </w:p>
    <w:p w:rsidR="00703EE2" w:rsidRPr="00601DAB" w:rsidRDefault="00703EE2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7E20" w:rsidRPr="000C052C" w:rsidRDefault="00675FC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52C">
        <w:rPr>
          <w:rFonts w:ascii="Times New Roman" w:hAnsi="Times New Roman"/>
          <w:sz w:val="24"/>
          <w:szCs w:val="24"/>
        </w:rPr>
        <w:lastRenderedPageBreak/>
        <w:t>Ostali r</w:t>
      </w:r>
      <w:r w:rsidR="00D37E20" w:rsidRPr="000C052C">
        <w:rPr>
          <w:rFonts w:ascii="Times New Roman" w:hAnsi="Times New Roman"/>
          <w:sz w:val="24"/>
          <w:szCs w:val="24"/>
        </w:rPr>
        <w:t xml:space="preserve">ashodi za zaposlene ostvareni su u iznosu od </w:t>
      </w:r>
      <w:r w:rsidR="00F76226" w:rsidRPr="000C052C">
        <w:rPr>
          <w:rFonts w:ascii="Times New Roman" w:hAnsi="Times New Roman"/>
          <w:sz w:val="24"/>
          <w:szCs w:val="24"/>
        </w:rPr>
        <w:t>175.951,28</w:t>
      </w:r>
      <w:r w:rsidR="00D37E20" w:rsidRPr="000C052C">
        <w:rPr>
          <w:rFonts w:ascii="Times New Roman" w:hAnsi="Times New Roman"/>
          <w:sz w:val="24"/>
          <w:szCs w:val="24"/>
        </w:rPr>
        <w:t xml:space="preserve"> kn što je </w:t>
      </w:r>
      <w:r w:rsidR="00F76226" w:rsidRPr="000C052C">
        <w:rPr>
          <w:rFonts w:ascii="Times New Roman" w:hAnsi="Times New Roman"/>
          <w:sz w:val="24"/>
          <w:szCs w:val="24"/>
        </w:rPr>
        <w:t>65</w:t>
      </w:r>
      <w:r w:rsidR="00D37E20" w:rsidRPr="000C052C">
        <w:rPr>
          <w:rFonts w:ascii="Times New Roman" w:hAnsi="Times New Roman"/>
          <w:sz w:val="24"/>
          <w:szCs w:val="24"/>
        </w:rPr>
        <w:t xml:space="preserve"> % više u odnosu na prethodno</w:t>
      </w:r>
      <w:r w:rsidRPr="000C052C">
        <w:rPr>
          <w:rFonts w:ascii="Times New Roman" w:hAnsi="Times New Roman"/>
          <w:sz w:val="24"/>
          <w:szCs w:val="24"/>
        </w:rPr>
        <w:t xml:space="preserve"> izvještajno</w:t>
      </w:r>
      <w:r w:rsidR="00D37E20" w:rsidRPr="000C052C">
        <w:rPr>
          <w:rFonts w:ascii="Times New Roman" w:hAnsi="Times New Roman"/>
          <w:sz w:val="24"/>
          <w:szCs w:val="24"/>
        </w:rPr>
        <w:t xml:space="preserve"> razdoblje</w:t>
      </w:r>
      <w:r w:rsidRPr="000C052C">
        <w:rPr>
          <w:rFonts w:ascii="Times New Roman" w:hAnsi="Times New Roman"/>
          <w:sz w:val="24"/>
          <w:szCs w:val="24"/>
        </w:rPr>
        <w:t xml:space="preserve"> zbog </w:t>
      </w:r>
      <w:r w:rsidR="000C052C" w:rsidRPr="000C052C">
        <w:rPr>
          <w:rFonts w:ascii="Times New Roman" w:hAnsi="Times New Roman"/>
          <w:sz w:val="24"/>
          <w:szCs w:val="24"/>
        </w:rPr>
        <w:t>nešto većih izdvajanja za regres i božićnice djelatnika, ali i uvođenja naknade za prehranu djelatnika.</w:t>
      </w:r>
    </w:p>
    <w:p w:rsidR="00D37E20" w:rsidRPr="00601DAB" w:rsidRDefault="00D37E20" w:rsidP="00D17D1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37E20" w:rsidRPr="007E31A4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7E31A4"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>šifra 32</w:t>
      </w:r>
    </w:p>
    <w:p w:rsidR="007E31A4" w:rsidRPr="007E31A4" w:rsidRDefault="007E31A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31A4" w:rsidRPr="007E31A4" w:rsidRDefault="007E31A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1A4">
        <w:rPr>
          <w:rFonts w:ascii="Times New Roman" w:eastAsia="Times New Roman" w:hAnsi="Times New Roman"/>
          <w:sz w:val="24"/>
          <w:szCs w:val="24"/>
          <w:lang w:eastAsia="hr-HR"/>
        </w:rPr>
        <w:t>Materijalni rashodi ostvareni su u iznosu od 11.244.014,66 kuna i za 14,1% su veći nego prethodne godine. Odstupanje se bilježi na šifri 3212-naknade za prijevoz, rad na terenu i odvojeni život koje su realizirane 50% više nego lani. Odstupanje nastaje zbog povećanja broja djelatnika i mjesečne cijene prijevozne karte.</w:t>
      </w:r>
    </w:p>
    <w:p w:rsidR="00D37E20" w:rsidRPr="007E31A4" w:rsidRDefault="00D37E20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E20" w:rsidRPr="00601DAB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D37E20" w:rsidRPr="00487B79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487B79"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>šifra 322</w:t>
      </w:r>
    </w:p>
    <w:p w:rsidR="00D37E20" w:rsidRPr="00601DAB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7E20" w:rsidRPr="00487B79" w:rsidRDefault="00D37E2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79">
        <w:rPr>
          <w:rFonts w:ascii="Times New Roman" w:hAnsi="Times New Roman"/>
          <w:sz w:val="24"/>
          <w:szCs w:val="24"/>
        </w:rPr>
        <w:t>R</w:t>
      </w:r>
      <w:r w:rsidR="00A0032C" w:rsidRPr="00487B79">
        <w:rPr>
          <w:rFonts w:ascii="Times New Roman" w:hAnsi="Times New Roman"/>
          <w:sz w:val="24"/>
          <w:szCs w:val="24"/>
        </w:rPr>
        <w:t>ashodi z</w:t>
      </w:r>
      <w:r w:rsidRPr="00487B79">
        <w:rPr>
          <w:rFonts w:ascii="Times New Roman" w:hAnsi="Times New Roman"/>
          <w:sz w:val="24"/>
          <w:szCs w:val="24"/>
        </w:rPr>
        <w:t>a materijal i energiju</w:t>
      </w:r>
      <w:r w:rsidR="00A0032C" w:rsidRPr="00487B79">
        <w:rPr>
          <w:rFonts w:ascii="Times New Roman" w:hAnsi="Times New Roman"/>
          <w:sz w:val="24"/>
          <w:szCs w:val="24"/>
        </w:rPr>
        <w:t xml:space="preserve"> </w:t>
      </w:r>
      <w:r w:rsidRPr="00487B79">
        <w:rPr>
          <w:rFonts w:ascii="Times New Roman" w:hAnsi="Times New Roman"/>
          <w:sz w:val="24"/>
          <w:szCs w:val="24"/>
        </w:rPr>
        <w:t xml:space="preserve">odnose se na </w:t>
      </w:r>
      <w:r w:rsidR="005255D9" w:rsidRPr="00487B79">
        <w:rPr>
          <w:rFonts w:ascii="Times New Roman" w:hAnsi="Times New Roman"/>
          <w:sz w:val="24"/>
          <w:szCs w:val="24"/>
        </w:rPr>
        <w:t xml:space="preserve">uredski materijal i ostale materijalne rashode, energiju, materijal i dijelove za tekuće i investicijsko održavanje, sitni inventar te službenu, radnu i zaštitnu odjeću i obuću a </w:t>
      </w:r>
      <w:r w:rsidR="00A0032C" w:rsidRPr="00487B79">
        <w:rPr>
          <w:rFonts w:ascii="Times New Roman" w:hAnsi="Times New Roman"/>
          <w:sz w:val="24"/>
          <w:szCs w:val="24"/>
        </w:rPr>
        <w:t xml:space="preserve">ostvareni su iznosu od </w:t>
      </w:r>
      <w:r w:rsidR="00487B79" w:rsidRPr="00487B79">
        <w:rPr>
          <w:rFonts w:ascii="Times New Roman" w:hAnsi="Times New Roman"/>
          <w:sz w:val="24"/>
          <w:szCs w:val="24"/>
        </w:rPr>
        <w:t>1.240.385,68</w:t>
      </w:r>
      <w:r w:rsidR="00A0032C" w:rsidRPr="00487B79">
        <w:rPr>
          <w:rFonts w:ascii="Times New Roman" w:hAnsi="Times New Roman"/>
          <w:sz w:val="24"/>
          <w:szCs w:val="24"/>
        </w:rPr>
        <w:t xml:space="preserve"> kn što je </w:t>
      </w:r>
      <w:r w:rsidR="00487B79" w:rsidRPr="00487B79">
        <w:rPr>
          <w:rFonts w:ascii="Times New Roman" w:hAnsi="Times New Roman"/>
          <w:sz w:val="24"/>
          <w:szCs w:val="24"/>
        </w:rPr>
        <w:t xml:space="preserve">za 97,8% više nego lani. </w:t>
      </w:r>
      <w:r w:rsidR="005255D9" w:rsidRPr="00487B79">
        <w:rPr>
          <w:rFonts w:ascii="Times New Roman" w:hAnsi="Times New Roman"/>
          <w:sz w:val="24"/>
          <w:szCs w:val="24"/>
        </w:rPr>
        <w:t>N</w:t>
      </w:r>
      <w:r w:rsidR="00D016E7" w:rsidRPr="00487B79">
        <w:rPr>
          <w:rFonts w:ascii="Times New Roman" w:hAnsi="Times New Roman"/>
          <w:sz w:val="24"/>
          <w:szCs w:val="24"/>
        </w:rPr>
        <w:t xml:space="preserve">ajveće odstupanje odnosi se na </w:t>
      </w:r>
      <w:r w:rsidR="00487B79" w:rsidRPr="00487B79">
        <w:rPr>
          <w:rFonts w:ascii="Times New Roman" w:hAnsi="Times New Roman"/>
          <w:sz w:val="24"/>
          <w:szCs w:val="24"/>
        </w:rPr>
        <w:t>rashod električne energije uslijed povećanja cijene energenata, ali i materijala i dijelova za tekuće i investicijsko održavanje za potrebe općine.</w:t>
      </w:r>
    </w:p>
    <w:p w:rsidR="00D032B1" w:rsidRPr="00601DAB" w:rsidRDefault="00D032B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5255D9" w:rsidRPr="00E2563E" w:rsidRDefault="005255D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487B79"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šifra </w:t>
      </w:r>
      <w:r w:rsidR="00E2563E"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>323</w:t>
      </w:r>
    </w:p>
    <w:p w:rsidR="005255D9" w:rsidRPr="00601DAB" w:rsidRDefault="002E3AC9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1DAB">
        <w:rPr>
          <w:rFonts w:ascii="Times New Roman" w:hAnsi="Times New Roman"/>
          <w:color w:val="FF0000"/>
          <w:sz w:val="24"/>
          <w:szCs w:val="24"/>
        </w:rPr>
        <w:t>.</w:t>
      </w:r>
    </w:p>
    <w:p w:rsidR="00653FD1" w:rsidRPr="00E2563E" w:rsidRDefault="005255D9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3E">
        <w:rPr>
          <w:rFonts w:ascii="Times New Roman" w:hAnsi="Times New Roman"/>
          <w:sz w:val="24"/>
          <w:szCs w:val="24"/>
        </w:rPr>
        <w:t>Rashodi za usluge</w:t>
      </w:r>
      <w:r w:rsidRPr="00E2563E">
        <w:rPr>
          <w:rFonts w:ascii="Times New Roman" w:hAnsi="Times New Roman"/>
          <w:b/>
          <w:sz w:val="24"/>
          <w:szCs w:val="24"/>
        </w:rPr>
        <w:t xml:space="preserve"> </w:t>
      </w:r>
      <w:r w:rsidR="00302628" w:rsidRPr="00E2563E">
        <w:rPr>
          <w:rFonts w:ascii="Times New Roman" w:hAnsi="Times New Roman"/>
          <w:sz w:val="24"/>
          <w:szCs w:val="24"/>
        </w:rPr>
        <w:t xml:space="preserve">ostvareni su u iznosu od </w:t>
      </w:r>
      <w:r w:rsidR="00E2563E" w:rsidRPr="00E2563E">
        <w:rPr>
          <w:rFonts w:ascii="Times New Roman" w:hAnsi="Times New Roman"/>
          <w:sz w:val="24"/>
          <w:szCs w:val="24"/>
        </w:rPr>
        <w:t>8.441.020,45</w:t>
      </w:r>
      <w:r w:rsidR="00302628" w:rsidRPr="00E2563E">
        <w:rPr>
          <w:rFonts w:ascii="Times New Roman" w:hAnsi="Times New Roman"/>
          <w:sz w:val="24"/>
          <w:szCs w:val="24"/>
        </w:rPr>
        <w:t xml:space="preserve"> kn što je </w:t>
      </w:r>
      <w:r w:rsidR="00E2563E" w:rsidRPr="00E2563E">
        <w:rPr>
          <w:rFonts w:ascii="Times New Roman" w:hAnsi="Times New Roman"/>
          <w:sz w:val="24"/>
          <w:szCs w:val="24"/>
        </w:rPr>
        <w:t>1,3</w:t>
      </w:r>
      <w:r w:rsidR="002E3AC9" w:rsidRPr="00E2563E">
        <w:rPr>
          <w:rFonts w:ascii="Times New Roman" w:hAnsi="Times New Roman"/>
          <w:sz w:val="24"/>
          <w:szCs w:val="24"/>
        </w:rPr>
        <w:t xml:space="preserve"> </w:t>
      </w:r>
      <w:r w:rsidR="00302628" w:rsidRPr="00E2563E">
        <w:rPr>
          <w:rFonts w:ascii="Times New Roman" w:hAnsi="Times New Roman"/>
          <w:sz w:val="24"/>
          <w:szCs w:val="24"/>
        </w:rPr>
        <w:t xml:space="preserve">% </w:t>
      </w:r>
      <w:r w:rsidR="00E2563E" w:rsidRPr="00E2563E">
        <w:rPr>
          <w:rFonts w:ascii="Times New Roman" w:hAnsi="Times New Roman"/>
          <w:sz w:val="24"/>
          <w:szCs w:val="24"/>
        </w:rPr>
        <w:t>više</w:t>
      </w:r>
      <w:r w:rsidR="00302628" w:rsidRPr="00E2563E">
        <w:rPr>
          <w:rFonts w:ascii="Times New Roman" w:hAnsi="Times New Roman"/>
          <w:sz w:val="24"/>
          <w:szCs w:val="24"/>
        </w:rPr>
        <w:t xml:space="preserve"> u odnosu na prethodnu godinu</w:t>
      </w:r>
      <w:r w:rsidR="0028270C" w:rsidRPr="00E2563E">
        <w:rPr>
          <w:rFonts w:ascii="Times New Roman" w:hAnsi="Times New Roman"/>
          <w:sz w:val="24"/>
          <w:szCs w:val="24"/>
        </w:rPr>
        <w:t>. Najznačajnija odstupanja</w:t>
      </w:r>
      <w:r w:rsidR="00A070CD" w:rsidRPr="00E2563E">
        <w:rPr>
          <w:rFonts w:ascii="Times New Roman" w:hAnsi="Times New Roman"/>
          <w:sz w:val="24"/>
          <w:szCs w:val="24"/>
        </w:rPr>
        <w:t xml:space="preserve"> se odnose na usluge </w:t>
      </w:r>
      <w:r w:rsidR="00E2563E" w:rsidRPr="00E2563E">
        <w:rPr>
          <w:rFonts w:ascii="Times New Roman" w:hAnsi="Times New Roman"/>
          <w:sz w:val="24"/>
          <w:szCs w:val="24"/>
        </w:rPr>
        <w:t>telefona, pošte i prijevoza uslijed povećanja poštarine</w:t>
      </w:r>
      <w:r w:rsidR="006B6170" w:rsidRPr="00E2563E">
        <w:rPr>
          <w:rFonts w:ascii="Times New Roman" w:hAnsi="Times New Roman"/>
          <w:sz w:val="24"/>
          <w:szCs w:val="24"/>
        </w:rPr>
        <w:t>.</w:t>
      </w:r>
      <w:r w:rsidR="0028270C" w:rsidRPr="00E2563E">
        <w:rPr>
          <w:rFonts w:ascii="Times New Roman" w:hAnsi="Times New Roman"/>
          <w:sz w:val="24"/>
          <w:szCs w:val="24"/>
        </w:rPr>
        <w:t xml:space="preserve"> </w:t>
      </w:r>
      <w:r w:rsidR="006B6170" w:rsidRPr="00E2563E">
        <w:rPr>
          <w:rFonts w:ascii="Times New Roman" w:hAnsi="Times New Roman"/>
          <w:sz w:val="24"/>
          <w:szCs w:val="24"/>
        </w:rPr>
        <w:t>Nadalje došlo je do povećanja</w:t>
      </w:r>
      <w:r w:rsidR="0028270C" w:rsidRPr="00E2563E">
        <w:rPr>
          <w:rFonts w:ascii="Times New Roman" w:hAnsi="Times New Roman"/>
          <w:sz w:val="24"/>
          <w:szCs w:val="24"/>
        </w:rPr>
        <w:t xml:space="preserve"> </w:t>
      </w:r>
      <w:r w:rsidR="0013228D" w:rsidRPr="00E2563E">
        <w:rPr>
          <w:rFonts w:ascii="Times New Roman" w:hAnsi="Times New Roman"/>
          <w:sz w:val="24"/>
          <w:szCs w:val="24"/>
        </w:rPr>
        <w:t>rashod</w:t>
      </w:r>
      <w:r w:rsidR="006B6170" w:rsidRPr="00E2563E">
        <w:rPr>
          <w:rFonts w:ascii="Times New Roman" w:hAnsi="Times New Roman"/>
          <w:sz w:val="24"/>
          <w:szCs w:val="24"/>
        </w:rPr>
        <w:t>a</w:t>
      </w:r>
      <w:r w:rsidR="0013228D" w:rsidRPr="00E2563E">
        <w:rPr>
          <w:rFonts w:ascii="Times New Roman" w:hAnsi="Times New Roman"/>
          <w:sz w:val="24"/>
          <w:szCs w:val="24"/>
        </w:rPr>
        <w:t xml:space="preserve"> za usluge promidžbe i informiranja </w:t>
      </w:r>
      <w:r w:rsidR="006B6170" w:rsidRPr="00E2563E">
        <w:rPr>
          <w:rFonts w:ascii="Times New Roman" w:hAnsi="Times New Roman"/>
          <w:sz w:val="24"/>
          <w:szCs w:val="24"/>
        </w:rPr>
        <w:t xml:space="preserve">za </w:t>
      </w:r>
      <w:r w:rsidR="00E2563E" w:rsidRPr="00E2563E">
        <w:rPr>
          <w:rFonts w:ascii="Times New Roman" w:hAnsi="Times New Roman"/>
          <w:sz w:val="24"/>
          <w:szCs w:val="24"/>
        </w:rPr>
        <w:t>nominalno više u iznosu od 279.604,35 kuna</w:t>
      </w:r>
      <w:r w:rsidR="006B6170" w:rsidRPr="00E2563E">
        <w:rPr>
          <w:rFonts w:ascii="Times New Roman" w:hAnsi="Times New Roman"/>
          <w:sz w:val="24"/>
          <w:szCs w:val="24"/>
        </w:rPr>
        <w:t xml:space="preserve">  </w:t>
      </w:r>
      <w:r w:rsidR="00E2563E" w:rsidRPr="00E2563E">
        <w:rPr>
          <w:rFonts w:ascii="Times New Roman" w:hAnsi="Times New Roman"/>
          <w:sz w:val="24"/>
          <w:szCs w:val="24"/>
        </w:rPr>
        <w:t>zbog većeg broja turističkih manifestacija (koncerti i sl.)</w:t>
      </w:r>
    </w:p>
    <w:p w:rsidR="00E2563E" w:rsidRPr="00E2563E" w:rsidRDefault="00E2563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3E">
        <w:rPr>
          <w:rFonts w:ascii="Times New Roman" w:hAnsi="Times New Roman"/>
          <w:sz w:val="24"/>
          <w:szCs w:val="24"/>
        </w:rPr>
        <w:t xml:space="preserve">Komunalne usluge realizirane su u iznosu od 279.547,23 kuna ili 27,9% više nego prethodne godine zbog </w:t>
      </w:r>
      <w:r>
        <w:rPr>
          <w:rFonts w:ascii="Times New Roman" w:hAnsi="Times New Roman"/>
          <w:sz w:val="24"/>
          <w:szCs w:val="24"/>
        </w:rPr>
        <w:t>veće usluge dezinsekcije i deratizacije, ali i zbog većih rashoda za potrošnju vode.</w:t>
      </w:r>
    </w:p>
    <w:p w:rsidR="0031072E" w:rsidRPr="0031072E" w:rsidRDefault="003107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72E">
        <w:rPr>
          <w:rFonts w:ascii="Times New Roman" w:hAnsi="Times New Roman"/>
          <w:sz w:val="24"/>
          <w:szCs w:val="24"/>
        </w:rPr>
        <w:t>Zakupnine i najamnine realizirane su u iznosu od 14.454,61 kuna ili 69,4% više nego lani zbog nabave licence.</w:t>
      </w:r>
    </w:p>
    <w:p w:rsidR="0031072E" w:rsidRPr="0031072E" w:rsidRDefault="006D5C0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72E">
        <w:rPr>
          <w:rFonts w:ascii="Times New Roman" w:hAnsi="Times New Roman"/>
          <w:sz w:val="24"/>
          <w:szCs w:val="24"/>
        </w:rPr>
        <w:t xml:space="preserve">Zdravstvene i veterinarske usluge su </w:t>
      </w:r>
      <w:r w:rsidR="0031072E" w:rsidRPr="0031072E">
        <w:rPr>
          <w:rFonts w:ascii="Times New Roman" w:hAnsi="Times New Roman"/>
          <w:sz w:val="24"/>
          <w:szCs w:val="24"/>
        </w:rPr>
        <w:t xml:space="preserve">veće </w:t>
      </w:r>
      <w:r w:rsidRPr="0031072E">
        <w:rPr>
          <w:rFonts w:ascii="Times New Roman" w:hAnsi="Times New Roman"/>
          <w:sz w:val="24"/>
          <w:szCs w:val="24"/>
        </w:rPr>
        <w:t xml:space="preserve">za </w:t>
      </w:r>
      <w:r w:rsidR="0031072E" w:rsidRPr="0031072E">
        <w:rPr>
          <w:rFonts w:ascii="Times New Roman" w:hAnsi="Times New Roman"/>
          <w:sz w:val="24"/>
          <w:szCs w:val="24"/>
        </w:rPr>
        <w:t xml:space="preserve">69.806,38 kuna </w:t>
      </w:r>
      <w:r w:rsidRPr="0031072E">
        <w:rPr>
          <w:rFonts w:ascii="Times New Roman" w:hAnsi="Times New Roman"/>
          <w:sz w:val="24"/>
          <w:szCs w:val="24"/>
        </w:rPr>
        <w:t xml:space="preserve"> </w:t>
      </w:r>
      <w:r w:rsidR="0031072E" w:rsidRPr="0031072E">
        <w:rPr>
          <w:rFonts w:ascii="Times New Roman" w:hAnsi="Times New Roman"/>
          <w:sz w:val="24"/>
          <w:szCs w:val="24"/>
        </w:rPr>
        <w:t>zbog rashoda za zbrinjava napuštenih životinja odnosno troškova azila.</w:t>
      </w:r>
    </w:p>
    <w:p w:rsidR="00122DE3" w:rsidRPr="004210E7" w:rsidRDefault="00AA7C8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0E7">
        <w:rPr>
          <w:rFonts w:ascii="Times New Roman" w:hAnsi="Times New Roman"/>
          <w:sz w:val="24"/>
          <w:szCs w:val="24"/>
        </w:rPr>
        <w:t xml:space="preserve">Također i ostale usluge bilježe porast od </w:t>
      </w:r>
      <w:r w:rsidR="0031072E" w:rsidRPr="004210E7">
        <w:rPr>
          <w:rFonts w:ascii="Times New Roman" w:hAnsi="Times New Roman"/>
          <w:sz w:val="24"/>
          <w:szCs w:val="24"/>
        </w:rPr>
        <w:t>nominalno 472.542,67 kuna</w:t>
      </w:r>
      <w:r w:rsidRPr="004210E7">
        <w:rPr>
          <w:rFonts w:ascii="Times New Roman" w:hAnsi="Times New Roman"/>
          <w:sz w:val="24"/>
          <w:szCs w:val="24"/>
        </w:rPr>
        <w:t xml:space="preserve"> a povećanje kojih se odnosi na </w:t>
      </w:r>
      <w:r w:rsidR="004210E7" w:rsidRPr="004210E7">
        <w:rPr>
          <w:rFonts w:ascii="Times New Roman" w:hAnsi="Times New Roman"/>
          <w:sz w:val="24"/>
          <w:szCs w:val="24"/>
        </w:rPr>
        <w:t>energetsku uslugu prema ESCO modelu.</w:t>
      </w:r>
    </w:p>
    <w:p w:rsidR="004210E7" w:rsidRPr="00601DAB" w:rsidRDefault="004210E7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DE3" w:rsidRPr="00E224C3" w:rsidRDefault="00122DE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224C3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šifra 329</w:t>
      </w:r>
    </w:p>
    <w:p w:rsidR="002178C7" w:rsidRPr="00E224C3" w:rsidRDefault="002178C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72944" w:rsidRPr="00E224C3" w:rsidRDefault="00137F1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Ostali nespomenuti rashodi ostvareni su u iznosu od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1.526.209,77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78,9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prethodnu proračunsku godinu</w:t>
      </w:r>
      <w:r w:rsidR="00E72944"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224C3" w:rsidRPr="00E224C3" w:rsidRDefault="00137F1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Najznačajnija odstupanja odnose se na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troškove pristojba i naknada koje su ostvarene u iznosu od 276.032,62 kuna ili 93,9% više nego lani zbog većeg izdvajanja prema FZOEU za poticajnu naknadu te javnobilježničkih i sudskih pristojbi. </w:t>
      </w:r>
    </w:p>
    <w:p w:rsidR="00AE4296" w:rsidRPr="00E224C3" w:rsidRDefault="009728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ostali nespomenuti rashodi poslovanja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veći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su za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753.870,38 kuna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zbog plaćanja obveze prema sudskom sporu (glavnica).</w:t>
      </w:r>
    </w:p>
    <w:p w:rsidR="002178C7" w:rsidRPr="00601DAB" w:rsidRDefault="002178C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A02D1" w:rsidRPr="00E224C3" w:rsidRDefault="000A02D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224C3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šifra 34</w:t>
      </w:r>
    </w:p>
    <w:p w:rsidR="00C80789" w:rsidRPr="00601DAB" w:rsidRDefault="00C8078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E224C3" w:rsidRPr="00E224C3" w:rsidRDefault="00E224C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Financijski rashodi realizirani su u iznosu od 1.303.104,17 kuna ili nominalno više za 1.221.543,17 kuna nego lani. Posljedica je to većih rashoda za ugovorene kamate prema ZABA d.d. za dugoročni kredit, ali i zbog zateznih kamata koje su nastale u sudskom sporu .</w:t>
      </w:r>
    </w:p>
    <w:p w:rsidR="000A02D1" w:rsidRPr="00601DAB" w:rsidRDefault="000A02D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D42D87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36</w:t>
      </w: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C6FE1" w:rsidRPr="00D42D87" w:rsidRDefault="00D42D8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Pomoći ostvarene su u iznosu od 1.197.817,34 kuna ili nominalno više za 1.118.635,34 kuna nego lani</w:t>
      </w:r>
      <w:r w:rsidR="006475B7" w:rsidRPr="00D42D87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Najrazvidnije je to na šifri 3662-kapitalne pomoći korisnicima drugih proračuna gdje se realiziralo 1.003.407 kuna gdje su evidentirani rashodi prema ŽLU Zadar (isplata prema ugovoru-</w:t>
      </w:r>
      <w:proofErr w:type="spellStart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Mul</w:t>
      </w:r>
      <w:proofErr w:type="spellEnd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u selu) i matičnom uredu Nin.</w:t>
      </w: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42561" w:rsidRPr="00601DAB" w:rsidRDefault="00942561" w:rsidP="00D17D1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42561" w:rsidRPr="00D42D87" w:rsidRDefault="0094256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42D87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19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D42D87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37</w:t>
      </w:r>
    </w:p>
    <w:p w:rsidR="00D11196" w:rsidRPr="00601DAB" w:rsidRDefault="00D1119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054B6" w:rsidRP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</w:t>
      </w:r>
      <w:proofErr w:type="spellStart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građanim</w:t>
      </w:r>
      <w:proofErr w:type="spellEnd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i kućanstvima na temelju osiguranja i druge naknade realizirane su u iznosu od 438.443,34 ili 18,2% zbog većih izdvajanja naknada za novorođenčad i socijalna davanja te stipendije i školarine.</w:t>
      </w:r>
    </w:p>
    <w:p w:rsidR="008054B6" w:rsidRPr="00D42D87" w:rsidRDefault="008054B6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33C0F" w:rsidRPr="00004349" w:rsidRDefault="00233C0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42D87"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20, </w:t>
      </w:r>
      <w:r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42D87"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>šifra 38</w:t>
      </w:r>
    </w:p>
    <w:p w:rsid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04349">
        <w:rPr>
          <w:rFonts w:ascii="Times New Roman" w:eastAsia="Times New Roman" w:hAnsi="Times New Roman"/>
          <w:sz w:val="24"/>
          <w:szCs w:val="24"/>
          <w:lang w:eastAsia="hr-HR"/>
        </w:rPr>
        <w:t>Ostali rashodi realizirani su u iznosu od 3.577.573,21 kuna ili 14,9% više nego lani.  Vidljivo je na kapitalnim pomoćima i tekućim donacijama u novcu.</w:t>
      </w:r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Veća izdvajanja prema DVD </w:t>
      </w:r>
      <w:proofErr w:type="spellStart"/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i Turističkoj zajednici za organizaciju Adventa uzrokuju i veće odstupanje.</w:t>
      </w:r>
      <w:r w:rsid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5073F" w:rsidRDefault="00A5073F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73F" w:rsidRPr="00A5073F" w:rsidRDefault="00A5073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073F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21, šifra 4</w:t>
      </w:r>
    </w:p>
    <w:p w:rsidR="00233C0F" w:rsidRPr="00601DAB" w:rsidRDefault="00233C0F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17A6" w:rsidRPr="002D102E" w:rsidRDefault="00E917A6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t xml:space="preserve">Rashodi za nabavu nefinancijske imovine ostvareni su u iznosu od </w:t>
      </w:r>
      <w:r w:rsidR="002D102E" w:rsidRPr="002D102E">
        <w:rPr>
          <w:rFonts w:ascii="Times New Roman" w:hAnsi="Times New Roman"/>
          <w:sz w:val="24"/>
          <w:szCs w:val="24"/>
        </w:rPr>
        <w:t>16.240.957,56</w:t>
      </w:r>
      <w:r w:rsidRPr="002D102E">
        <w:rPr>
          <w:rFonts w:ascii="Times New Roman" w:hAnsi="Times New Roman"/>
          <w:sz w:val="24"/>
          <w:szCs w:val="24"/>
        </w:rPr>
        <w:t xml:space="preserve"> kn što je </w:t>
      </w:r>
      <w:r w:rsidR="00CE190C" w:rsidRPr="002D102E">
        <w:rPr>
          <w:rFonts w:ascii="Times New Roman" w:hAnsi="Times New Roman"/>
          <w:sz w:val="24"/>
          <w:szCs w:val="24"/>
        </w:rPr>
        <w:t>znatno više</w:t>
      </w:r>
      <w:r w:rsidR="00184727" w:rsidRPr="002D102E">
        <w:rPr>
          <w:rFonts w:ascii="Times New Roman" w:hAnsi="Times New Roman"/>
          <w:sz w:val="24"/>
          <w:szCs w:val="24"/>
        </w:rPr>
        <w:t xml:space="preserve"> u odnosu na </w:t>
      </w:r>
      <w:r w:rsidR="00CE190C" w:rsidRPr="002D102E">
        <w:rPr>
          <w:rFonts w:ascii="Times New Roman" w:hAnsi="Times New Roman"/>
          <w:sz w:val="24"/>
          <w:szCs w:val="24"/>
        </w:rPr>
        <w:t xml:space="preserve">isto izvještajno razdoblje </w:t>
      </w:r>
      <w:r w:rsidR="00233C0F" w:rsidRPr="002D102E">
        <w:rPr>
          <w:rFonts w:ascii="Times New Roman" w:hAnsi="Times New Roman"/>
          <w:sz w:val="24"/>
          <w:szCs w:val="24"/>
        </w:rPr>
        <w:t xml:space="preserve">prethodno </w:t>
      </w:r>
      <w:r w:rsidR="00CE190C" w:rsidRPr="002D102E">
        <w:rPr>
          <w:rFonts w:ascii="Times New Roman" w:hAnsi="Times New Roman"/>
          <w:sz w:val="24"/>
          <w:szCs w:val="24"/>
        </w:rPr>
        <w:t>proračunske godine</w:t>
      </w:r>
      <w:r w:rsidR="00EB7FD2" w:rsidRPr="002D102E">
        <w:rPr>
          <w:rFonts w:ascii="Times New Roman" w:hAnsi="Times New Roman"/>
          <w:sz w:val="24"/>
          <w:szCs w:val="24"/>
        </w:rPr>
        <w:t xml:space="preserve"> a odnose se na :</w:t>
      </w:r>
    </w:p>
    <w:p w:rsidR="002D102E" w:rsidRPr="002D102E" w:rsidRDefault="002D10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t xml:space="preserve">-šifra 4111 zemljište realizirana je u iznosu od 538.434,04 kuna </w:t>
      </w:r>
      <w:proofErr w:type="spellStart"/>
      <w:r w:rsidRPr="002D102E">
        <w:rPr>
          <w:rFonts w:ascii="Times New Roman" w:hAnsi="Times New Roman"/>
          <w:sz w:val="24"/>
          <w:szCs w:val="24"/>
        </w:rPr>
        <w:t>zbatno</w:t>
      </w:r>
      <w:proofErr w:type="spellEnd"/>
      <w:r w:rsidRPr="002D102E">
        <w:rPr>
          <w:rFonts w:ascii="Times New Roman" w:hAnsi="Times New Roman"/>
          <w:sz w:val="24"/>
          <w:szCs w:val="24"/>
        </w:rPr>
        <w:t xml:space="preserve"> više nego prethodne godine zbog većeg broja otkupa z</w:t>
      </w:r>
      <w:r>
        <w:rPr>
          <w:rFonts w:ascii="Times New Roman" w:hAnsi="Times New Roman"/>
          <w:sz w:val="24"/>
          <w:szCs w:val="24"/>
        </w:rPr>
        <w:t>emljišta (poljoprivrednog i građ</w:t>
      </w:r>
      <w:r w:rsidRPr="002D102E">
        <w:rPr>
          <w:rFonts w:ascii="Times New Roman" w:hAnsi="Times New Roman"/>
          <w:sz w:val="24"/>
          <w:szCs w:val="24"/>
        </w:rPr>
        <w:t>evinskog),</w:t>
      </w:r>
    </w:p>
    <w:p w:rsidR="002D102E" w:rsidRPr="002D102E" w:rsidRDefault="002D10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FD2" w:rsidRPr="002D102E" w:rsidRDefault="0050199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t xml:space="preserve"> </w:t>
      </w:r>
      <w:r w:rsidR="00EB7FD2" w:rsidRPr="002D102E">
        <w:rPr>
          <w:rFonts w:ascii="Times New Roman" w:hAnsi="Times New Roman"/>
          <w:b/>
          <w:sz w:val="24"/>
          <w:szCs w:val="24"/>
        </w:rPr>
        <w:t xml:space="preserve">- rashode za nabavu </w:t>
      </w:r>
      <w:proofErr w:type="spellStart"/>
      <w:r w:rsidR="00EB7FD2" w:rsidRPr="002D102E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="00EB7FD2" w:rsidRPr="002D102E">
        <w:rPr>
          <w:rFonts w:ascii="Times New Roman" w:hAnsi="Times New Roman"/>
          <w:b/>
          <w:sz w:val="24"/>
          <w:szCs w:val="24"/>
        </w:rPr>
        <w:t xml:space="preserve"> dugotrajne imovine (</w:t>
      </w:r>
      <w:r w:rsidR="002D102E" w:rsidRPr="002D102E">
        <w:rPr>
          <w:rFonts w:ascii="Times New Roman" w:hAnsi="Times New Roman"/>
          <w:b/>
          <w:sz w:val="24"/>
          <w:szCs w:val="24"/>
        </w:rPr>
        <w:t>šifra 421</w:t>
      </w:r>
      <w:r w:rsidR="00CE190C" w:rsidRPr="002D102E">
        <w:rPr>
          <w:rFonts w:ascii="Times New Roman" w:hAnsi="Times New Roman"/>
          <w:b/>
          <w:sz w:val="24"/>
          <w:szCs w:val="24"/>
        </w:rPr>
        <w:t>)</w:t>
      </w:r>
      <w:r w:rsidR="00184727" w:rsidRPr="002D102E">
        <w:rPr>
          <w:rFonts w:ascii="Times New Roman" w:hAnsi="Times New Roman"/>
          <w:sz w:val="24"/>
          <w:szCs w:val="24"/>
        </w:rPr>
        <w:t xml:space="preserve"> </w:t>
      </w:r>
      <w:r w:rsidR="00EB7FD2" w:rsidRPr="002D102E">
        <w:rPr>
          <w:rFonts w:ascii="Times New Roman" w:hAnsi="Times New Roman"/>
          <w:sz w:val="24"/>
          <w:szCs w:val="24"/>
        </w:rPr>
        <w:t xml:space="preserve">ostvareni su u iznosu od </w:t>
      </w:r>
      <w:r w:rsidR="002D102E" w:rsidRPr="002D102E">
        <w:rPr>
          <w:rFonts w:ascii="Times New Roman" w:hAnsi="Times New Roman"/>
          <w:sz w:val="24"/>
          <w:szCs w:val="24"/>
        </w:rPr>
        <w:t>14.650.016,46</w:t>
      </w:r>
      <w:r w:rsidR="008C4DE2" w:rsidRPr="002D102E">
        <w:rPr>
          <w:rFonts w:ascii="Times New Roman" w:hAnsi="Times New Roman"/>
          <w:sz w:val="24"/>
          <w:szCs w:val="24"/>
        </w:rPr>
        <w:t xml:space="preserve"> kn</w:t>
      </w:r>
      <w:r w:rsidR="000F2B88" w:rsidRPr="002D102E">
        <w:rPr>
          <w:rFonts w:ascii="Times New Roman" w:hAnsi="Times New Roman"/>
          <w:sz w:val="24"/>
          <w:szCs w:val="24"/>
        </w:rPr>
        <w:t xml:space="preserve">, a do većeg odstupanja u odnosu na ostvarenje prethodne godine </w:t>
      </w:r>
      <w:r w:rsidR="002D102E" w:rsidRPr="002D102E">
        <w:rPr>
          <w:rFonts w:ascii="Times New Roman" w:hAnsi="Times New Roman"/>
          <w:sz w:val="24"/>
          <w:szCs w:val="24"/>
        </w:rPr>
        <w:t xml:space="preserve">dolazi zbog izgradnje i privođenju namjeni zgrade dječjeg vrtića u </w:t>
      </w:r>
      <w:proofErr w:type="spellStart"/>
      <w:r w:rsidR="002D102E" w:rsidRPr="002D102E">
        <w:rPr>
          <w:rFonts w:ascii="Times New Roman" w:hAnsi="Times New Roman"/>
          <w:sz w:val="24"/>
          <w:szCs w:val="24"/>
        </w:rPr>
        <w:t>Privlaci</w:t>
      </w:r>
      <w:proofErr w:type="spellEnd"/>
      <w:r w:rsidR="002D102E" w:rsidRPr="002D102E">
        <w:rPr>
          <w:rFonts w:ascii="Times New Roman" w:hAnsi="Times New Roman"/>
          <w:sz w:val="24"/>
          <w:szCs w:val="24"/>
        </w:rPr>
        <w:t>.</w:t>
      </w:r>
    </w:p>
    <w:p w:rsidR="002D102E" w:rsidRPr="00601DAB" w:rsidRDefault="002D102E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245D" w:rsidRPr="002D102E" w:rsidRDefault="00EB7FD2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b/>
          <w:sz w:val="24"/>
          <w:szCs w:val="24"/>
        </w:rPr>
        <w:t xml:space="preserve">- </w:t>
      </w:r>
      <w:r w:rsidR="002D102E" w:rsidRPr="002D102E">
        <w:rPr>
          <w:rFonts w:ascii="Times New Roman" w:hAnsi="Times New Roman"/>
          <w:b/>
          <w:sz w:val="24"/>
          <w:szCs w:val="24"/>
        </w:rPr>
        <w:t xml:space="preserve">postrojenja i oprema </w:t>
      </w:r>
      <w:r w:rsidR="00AA0CBA" w:rsidRPr="002D102E">
        <w:rPr>
          <w:rFonts w:ascii="Times New Roman" w:hAnsi="Times New Roman"/>
          <w:b/>
          <w:sz w:val="24"/>
          <w:szCs w:val="24"/>
        </w:rPr>
        <w:t xml:space="preserve"> (</w:t>
      </w:r>
      <w:r w:rsidR="002D102E" w:rsidRPr="002D102E">
        <w:rPr>
          <w:rFonts w:ascii="Times New Roman" w:hAnsi="Times New Roman"/>
          <w:b/>
          <w:sz w:val="24"/>
          <w:szCs w:val="24"/>
        </w:rPr>
        <w:t>šifra 422</w:t>
      </w:r>
      <w:r w:rsidR="00AA0CBA" w:rsidRPr="002D102E">
        <w:rPr>
          <w:rFonts w:ascii="Times New Roman" w:hAnsi="Times New Roman"/>
          <w:b/>
          <w:sz w:val="24"/>
          <w:szCs w:val="24"/>
        </w:rPr>
        <w:t xml:space="preserve"> )</w:t>
      </w:r>
      <w:r w:rsidRPr="002D102E">
        <w:rPr>
          <w:rFonts w:ascii="Times New Roman" w:hAnsi="Times New Roman"/>
          <w:sz w:val="24"/>
          <w:szCs w:val="24"/>
        </w:rPr>
        <w:t xml:space="preserve"> ostvareni su u iznosi od </w:t>
      </w:r>
      <w:r w:rsidR="002D102E" w:rsidRPr="002D102E">
        <w:rPr>
          <w:rFonts w:ascii="Times New Roman" w:hAnsi="Times New Roman"/>
          <w:sz w:val="24"/>
          <w:szCs w:val="24"/>
        </w:rPr>
        <w:t>207.990,01</w:t>
      </w:r>
      <w:r w:rsidRPr="002D102E">
        <w:rPr>
          <w:rFonts w:ascii="Times New Roman" w:hAnsi="Times New Roman"/>
          <w:sz w:val="24"/>
          <w:szCs w:val="24"/>
        </w:rPr>
        <w:t xml:space="preserve"> kn</w:t>
      </w:r>
      <w:r w:rsidR="000F2B88" w:rsidRPr="002D102E">
        <w:rPr>
          <w:rFonts w:ascii="Times New Roman" w:hAnsi="Times New Roman"/>
          <w:sz w:val="24"/>
          <w:szCs w:val="24"/>
        </w:rPr>
        <w:t xml:space="preserve"> što je </w:t>
      </w:r>
      <w:r w:rsidR="002D102E" w:rsidRPr="002D102E">
        <w:rPr>
          <w:rFonts w:ascii="Times New Roman" w:hAnsi="Times New Roman"/>
          <w:sz w:val="24"/>
          <w:szCs w:val="24"/>
        </w:rPr>
        <w:t>28</w:t>
      </w:r>
      <w:r w:rsidR="000F2B88" w:rsidRPr="002D102E">
        <w:rPr>
          <w:rFonts w:ascii="Times New Roman" w:hAnsi="Times New Roman"/>
          <w:sz w:val="24"/>
          <w:szCs w:val="24"/>
        </w:rPr>
        <w:t xml:space="preserve"> % više u odnosu na prethodnu godine, </w:t>
      </w:r>
      <w:r w:rsidR="002D102E" w:rsidRPr="002D102E">
        <w:rPr>
          <w:rFonts w:ascii="Times New Roman" w:hAnsi="Times New Roman"/>
          <w:sz w:val="24"/>
          <w:szCs w:val="24"/>
        </w:rPr>
        <w:t>a osim nabave opreme za potrebe općine evidentiraju se i rashodi za opremu novog dječjeg vrtića</w:t>
      </w:r>
      <w:r w:rsidR="008B03C0" w:rsidRPr="002D102E">
        <w:rPr>
          <w:rFonts w:ascii="Times New Roman" w:hAnsi="Times New Roman"/>
          <w:sz w:val="24"/>
          <w:szCs w:val="24"/>
        </w:rPr>
        <w:t>;</w:t>
      </w:r>
    </w:p>
    <w:p w:rsidR="00B5607D" w:rsidRPr="00B5607D" w:rsidRDefault="00814CC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 xml:space="preserve">Nadalje, rashodi za nabavu nematerijalne proizvedene imovine smanjili su se za </w:t>
      </w:r>
      <w:r w:rsidR="002D102E" w:rsidRPr="00B5607D">
        <w:rPr>
          <w:rFonts w:ascii="Times New Roman" w:hAnsi="Times New Roman"/>
          <w:sz w:val="24"/>
          <w:szCs w:val="24"/>
        </w:rPr>
        <w:t>4,2</w:t>
      </w:r>
      <w:r w:rsidRPr="00B5607D">
        <w:rPr>
          <w:rFonts w:ascii="Times New Roman" w:hAnsi="Times New Roman"/>
          <w:sz w:val="24"/>
          <w:szCs w:val="24"/>
        </w:rPr>
        <w:t xml:space="preserve"> % u odnosu na prethodno izvještajno razdoblje</w:t>
      </w:r>
      <w:r w:rsidR="0066666E" w:rsidRPr="00B5607D">
        <w:rPr>
          <w:rFonts w:ascii="Times New Roman" w:hAnsi="Times New Roman"/>
          <w:sz w:val="24"/>
          <w:szCs w:val="24"/>
        </w:rPr>
        <w:t xml:space="preserve"> </w:t>
      </w:r>
      <w:r w:rsidR="002D102E" w:rsidRPr="00B5607D">
        <w:rPr>
          <w:rFonts w:ascii="Times New Roman" w:hAnsi="Times New Roman"/>
          <w:sz w:val="24"/>
          <w:szCs w:val="24"/>
        </w:rPr>
        <w:t>, ali se vidi povećanje na rashodima za prostorne planove i ostalu poslovno plansku dokumentaciju (Izmjene i dopune prostornog plana Općine)</w:t>
      </w:r>
    </w:p>
    <w:p w:rsidR="00144E5A" w:rsidRPr="00B5607D" w:rsidRDefault="008B03C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b/>
          <w:sz w:val="24"/>
          <w:szCs w:val="24"/>
        </w:rPr>
        <w:t xml:space="preserve">- rashode za dodatna ulaganja na </w:t>
      </w:r>
      <w:proofErr w:type="spellStart"/>
      <w:r w:rsidRPr="00B5607D">
        <w:rPr>
          <w:rFonts w:ascii="Times New Roman" w:hAnsi="Times New Roman"/>
          <w:b/>
          <w:sz w:val="24"/>
          <w:szCs w:val="24"/>
        </w:rPr>
        <w:t>nefinacijskoj</w:t>
      </w:r>
      <w:proofErr w:type="spellEnd"/>
      <w:r w:rsidRPr="00B5607D">
        <w:rPr>
          <w:rFonts w:ascii="Times New Roman" w:hAnsi="Times New Roman"/>
          <w:b/>
          <w:sz w:val="24"/>
          <w:szCs w:val="24"/>
        </w:rPr>
        <w:t xml:space="preserve"> imovini (</w:t>
      </w:r>
      <w:r w:rsidR="00B5607D" w:rsidRPr="00B5607D">
        <w:rPr>
          <w:rFonts w:ascii="Times New Roman" w:hAnsi="Times New Roman"/>
          <w:b/>
          <w:sz w:val="24"/>
          <w:szCs w:val="24"/>
        </w:rPr>
        <w:t>šifra 45</w:t>
      </w:r>
      <w:r w:rsidRPr="00B5607D">
        <w:rPr>
          <w:rFonts w:ascii="Times New Roman" w:hAnsi="Times New Roman"/>
          <w:b/>
          <w:sz w:val="24"/>
          <w:szCs w:val="24"/>
        </w:rPr>
        <w:t>)</w:t>
      </w:r>
      <w:r w:rsidR="00A512C6" w:rsidRPr="00B5607D">
        <w:rPr>
          <w:rFonts w:ascii="Times New Roman" w:hAnsi="Times New Roman"/>
          <w:b/>
          <w:sz w:val="24"/>
          <w:szCs w:val="24"/>
        </w:rPr>
        <w:t xml:space="preserve"> </w:t>
      </w:r>
      <w:r w:rsidR="00A512C6" w:rsidRPr="00B5607D">
        <w:rPr>
          <w:rFonts w:ascii="Times New Roman" w:hAnsi="Times New Roman"/>
          <w:sz w:val="24"/>
          <w:szCs w:val="24"/>
        </w:rPr>
        <w:t>koji su za razliku od prethodne proračuns</w:t>
      </w:r>
      <w:r w:rsidR="00B5607D" w:rsidRPr="00B5607D">
        <w:rPr>
          <w:rFonts w:ascii="Times New Roman" w:hAnsi="Times New Roman"/>
          <w:sz w:val="24"/>
          <w:szCs w:val="24"/>
        </w:rPr>
        <w:t xml:space="preserve">ke godine ostvareni u iznosu  većem za 543.019,06 </w:t>
      </w:r>
      <w:r w:rsidR="00A512C6" w:rsidRPr="00B5607D">
        <w:rPr>
          <w:rFonts w:ascii="Times New Roman" w:hAnsi="Times New Roman"/>
          <w:sz w:val="24"/>
          <w:szCs w:val="24"/>
        </w:rPr>
        <w:t xml:space="preserve">kn a odnose se na modernizaciju </w:t>
      </w:r>
      <w:r w:rsidR="00B5607D" w:rsidRPr="00B5607D">
        <w:rPr>
          <w:rFonts w:ascii="Times New Roman" w:hAnsi="Times New Roman"/>
          <w:sz w:val="24"/>
          <w:szCs w:val="24"/>
        </w:rPr>
        <w:t>javne rasvjete</w:t>
      </w:r>
      <w:r w:rsidR="00A512C6" w:rsidRPr="00B5607D">
        <w:rPr>
          <w:rFonts w:ascii="Times New Roman" w:hAnsi="Times New Roman"/>
          <w:sz w:val="24"/>
          <w:szCs w:val="24"/>
        </w:rPr>
        <w:t>.</w:t>
      </w:r>
    </w:p>
    <w:p w:rsidR="008B03C0" w:rsidRPr="00B5607D" w:rsidRDefault="008B03C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666E" w:rsidRPr="006C4747" w:rsidRDefault="0066666E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C96DBA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6468C1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6C4747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5</w:t>
      </w:r>
    </w:p>
    <w:p w:rsidR="0066666E" w:rsidRPr="006C4747" w:rsidRDefault="0066666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3" w:rsidRPr="006C4747" w:rsidRDefault="006468C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747">
        <w:rPr>
          <w:rFonts w:ascii="Times New Roman" w:hAnsi="Times New Roman"/>
          <w:sz w:val="24"/>
          <w:szCs w:val="24"/>
        </w:rPr>
        <w:lastRenderedPageBreak/>
        <w:t xml:space="preserve">Izdaci za dionice i udjele u glavnici ostvareni su u iznosu od </w:t>
      </w:r>
      <w:r w:rsidR="006C4747" w:rsidRPr="006C4747">
        <w:rPr>
          <w:rFonts w:ascii="Times New Roman" w:hAnsi="Times New Roman"/>
          <w:sz w:val="24"/>
          <w:szCs w:val="24"/>
        </w:rPr>
        <w:t>1.500.000,00</w:t>
      </w:r>
      <w:r w:rsidRPr="006C4747">
        <w:rPr>
          <w:rFonts w:ascii="Times New Roman" w:hAnsi="Times New Roman"/>
          <w:sz w:val="24"/>
          <w:szCs w:val="24"/>
        </w:rPr>
        <w:t xml:space="preserve"> kn a odnose se na dionice i udjele u glavnici trgovačkih društava u javnom sektoru, točnije na dokapitalizaciju OKD Artić.</w:t>
      </w:r>
    </w:p>
    <w:p w:rsidR="00965370" w:rsidRPr="00601DAB" w:rsidRDefault="00965370" w:rsidP="00D17D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65370" w:rsidRPr="00601DAB" w:rsidRDefault="00965370" w:rsidP="00D17D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B02E1" w:rsidRPr="00B5607D" w:rsidRDefault="00EB02E1" w:rsidP="00D17D1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07D">
        <w:rPr>
          <w:rFonts w:ascii="Times New Roman" w:hAnsi="Times New Roman"/>
          <w:b/>
          <w:sz w:val="24"/>
          <w:szCs w:val="24"/>
          <w:u w:val="single"/>
        </w:rPr>
        <w:t>B</w:t>
      </w:r>
      <w:r w:rsidR="000E14AE" w:rsidRPr="00B5607D">
        <w:rPr>
          <w:rFonts w:ascii="Times New Roman" w:hAnsi="Times New Roman"/>
          <w:b/>
          <w:sz w:val="24"/>
          <w:szCs w:val="24"/>
          <w:u w:val="single"/>
        </w:rPr>
        <w:t>ilješke uz bilancu (</w:t>
      </w:r>
      <w:r w:rsidR="00F37422" w:rsidRPr="00B5607D">
        <w:rPr>
          <w:rFonts w:ascii="Times New Roman" w:hAnsi="Times New Roman"/>
          <w:b/>
          <w:sz w:val="24"/>
          <w:szCs w:val="24"/>
          <w:u w:val="single"/>
        </w:rPr>
        <w:t xml:space="preserve">Obrazac: </w:t>
      </w:r>
      <w:r w:rsidR="000E14AE" w:rsidRPr="00B5607D">
        <w:rPr>
          <w:rFonts w:ascii="Times New Roman" w:hAnsi="Times New Roman"/>
          <w:b/>
          <w:sz w:val="24"/>
          <w:szCs w:val="24"/>
          <w:u w:val="single"/>
        </w:rPr>
        <w:t>BIL)</w:t>
      </w:r>
    </w:p>
    <w:p w:rsidR="00586E5C" w:rsidRPr="00B5607D" w:rsidRDefault="00586E5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6E5C" w:rsidRPr="00B5607D" w:rsidRDefault="006C2437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>Prema Pravilniku o izmjenama Pravilnika o financijsk</w:t>
      </w:r>
      <w:r w:rsidR="007265BD" w:rsidRPr="00B5607D">
        <w:rPr>
          <w:rFonts w:ascii="Times New Roman" w:hAnsi="Times New Roman"/>
          <w:sz w:val="24"/>
          <w:szCs w:val="24"/>
        </w:rPr>
        <w:t>om izvještavanju u proračunskom</w:t>
      </w:r>
      <w:r w:rsidRPr="00B5607D">
        <w:rPr>
          <w:rFonts w:ascii="Times New Roman" w:hAnsi="Times New Roman"/>
          <w:sz w:val="24"/>
          <w:szCs w:val="24"/>
        </w:rPr>
        <w:t xml:space="preserve"> računovodstvu (NN 112/18) obvezne Bilješke uz Bilancu su :</w:t>
      </w:r>
    </w:p>
    <w:p w:rsidR="006C2437" w:rsidRPr="00B5607D" w:rsidRDefault="006C2437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 xml:space="preserve">Popis ugovornih odnosa i slično koji uz ispunjenje određenih uvjeta, mogu postati obveza ili imovina </w:t>
      </w:r>
    </w:p>
    <w:p w:rsidR="006F55B7" w:rsidRPr="00B5607D" w:rsidRDefault="006C2437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>Popis sudskih sporova u tijeku</w:t>
      </w:r>
    </w:p>
    <w:p w:rsidR="00943567" w:rsidRPr="00B5607D" w:rsidRDefault="00943567" w:rsidP="00D17D1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7E" w:rsidRPr="00B5607D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>Tablica 1:</w:t>
      </w: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Popis ugovornih odnosa i slično koji uz ispunjenje određenih uvjeta, mogu postati obveza ili imovina</w:t>
      </w:r>
    </w:p>
    <w:p w:rsidR="00586E5C" w:rsidRPr="00601DAB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73"/>
        <w:gridCol w:w="1312"/>
        <w:gridCol w:w="1619"/>
        <w:gridCol w:w="3077"/>
        <w:gridCol w:w="1238"/>
      </w:tblGrid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8" w:righ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izdavanja</w:t>
            </w:r>
            <w:proofErr w:type="spellEnd"/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osig</w:t>
            </w:r>
            <w:proofErr w:type="spellEnd"/>
            <w:r>
              <w:rPr>
                <w:rFonts w:ascii="Calibri"/>
                <w:b/>
                <w:sz w:val="18"/>
              </w:rPr>
              <w:t>.</w:t>
            </w:r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3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Iznos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danog</w:t>
            </w:r>
            <w:proofErr w:type="spellEnd"/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jamstva</w:t>
            </w:r>
            <w:proofErr w:type="spellEnd"/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909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Davatelj</w:t>
            </w:r>
            <w:proofErr w:type="spellEnd"/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jamstva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2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Namjena</w:t>
            </w:r>
            <w:proofErr w:type="spellEnd"/>
          </w:p>
        </w:tc>
      </w:tr>
      <w:tr w:rsidR="0037644C" w:rsidTr="00E64D3A">
        <w:trPr>
          <w:trHeight w:val="229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Privlaka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Hrvatskoj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pošti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29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Villapark</w:t>
            </w:r>
            <w:proofErr w:type="spellEnd"/>
            <w:r>
              <w:rPr>
                <w:rFonts w:ascii="Calibri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Privlaka</w:t>
            </w:r>
            <w:proofErr w:type="spellEnd"/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Villapark</w:t>
            </w:r>
            <w:proofErr w:type="spellEnd"/>
            <w:r>
              <w:rPr>
                <w:rFonts w:ascii="Calibri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Privlaka</w:t>
            </w:r>
            <w:proofErr w:type="spellEnd"/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Karmen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Ramić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29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Karmen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Ramić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16.04.2021.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Brankica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Kozić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20.04.2021.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Mladić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29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21.04.2021.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Josip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Jozin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27.08.2021.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Nikica</w:t>
            </w:r>
            <w:proofErr w:type="spellEnd"/>
            <w:r>
              <w:rPr>
                <w:rFonts w:asci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Zanki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21.09.2021.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Ante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Glavan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44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</w:t>
            </w:r>
          </w:p>
        </w:tc>
        <w:tc>
          <w:tcPr>
            <w:tcW w:w="1373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07.10.2021.</w:t>
            </w:r>
          </w:p>
        </w:tc>
        <w:tc>
          <w:tcPr>
            <w:tcW w:w="1312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Luka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Zanki</w:t>
            </w:r>
            <w:proofErr w:type="spellEnd"/>
          </w:p>
        </w:tc>
        <w:tc>
          <w:tcPr>
            <w:tcW w:w="1238" w:type="dxa"/>
          </w:tcPr>
          <w:p w:rsid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E64D3A">
        <w:trPr>
          <w:trHeight w:val="230"/>
        </w:trPr>
        <w:tc>
          <w:tcPr>
            <w:tcW w:w="44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16.</w:t>
            </w:r>
          </w:p>
        </w:tc>
        <w:tc>
          <w:tcPr>
            <w:tcW w:w="1373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6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13.10.2021-</w:t>
            </w:r>
          </w:p>
        </w:tc>
        <w:tc>
          <w:tcPr>
            <w:tcW w:w="131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E64D3A">
        <w:trPr>
          <w:trHeight w:val="230"/>
        </w:trPr>
        <w:tc>
          <w:tcPr>
            <w:tcW w:w="44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17.</w:t>
            </w:r>
          </w:p>
        </w:tc>
        <w:tc>
          <w:tcPr>
            <w:tcW w:w="1373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22.11.2021.</w:t>
            </w:r>
          </w:p>
        </w:tc>
        <w:tc>
          <w:tcPr>
            <w:tcW w:w="131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38" w:right="11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5.000,00</w:t>
            </w:r>
          </w:p>
        </w:tc>
        <w:tc>
          <w:tcPr>
            <w:tcW w:w="3077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E64D3A">
        <w:trPr>
          <w:trHeight w:val="230"/>
        </w:trPr>
        <w:tc>
          <w:tcPr>
            <w:tcW w:w="44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18.</w:t>
            </w:r>
          </w:p>
        </w:tc>
        <w:tc>
          <w:tcPr>
            <w:tcW w:w="1373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01.02.2022.</w:t>
            </w:r>
          </w:p>
        </w:tc>
        <w:tc>
          <w:tcPr>
            <w:tcW w:w="131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color w:val="FF0000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E64D3A">
        <w:trPr>
          <w:trHeight w:val="230"/>
        </w:trPr>
        <w:tc>
          <w:tcPr>
            <w:tcW w:w="44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19.</w:t>
            </w:r>
          </w:p>
        </w:tc>
        <w:tc>
          <w:tcPr>
            <w:tcW w:w="1373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08.04.2022.</w:t>
            </w:r>
          </w:p>
        </w:tc>
        <w:tc>
          <w:tcPr>
            <w:tcW w:w="1312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 xml:space="preserve">Tabor </w:t>
            </w:r>
            <w:proofErr w:type="spellStart"/>
            <w:r w:rsidRPr="0037644C">
              <w:rPr>
                <w:rFonts w:ascii="Calibri"/>
                <w:sz w:val="18"/>
              </w:rPr>
              <w:t>j.d.o.o</w:t>
            </w:r>
            <w:proofErr w:type="spellEnd"/>
            <w:r w:rsidRPr="0037644C">
              <w:rPr>
                <w:rFonts w:ascii="Calibri"/>
                <w:sz w:val="18"/>
              </w:rPr>
              <w:t>.</w:t>
            </w:r>
          </w:p>
        </w:tc>
        <w:tc>
          <w:tcPr>
            <w:tcW w:w="1238" w:type="dxa"/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E64D3A">
        <w:trPr>
          <w:trHeight w:val="230"/>
        </w:trPr>
        <w:tc>
          <w:tcPr>
            <w:tcW w:w="3127" w:type="dxa"/>
            <w:gridSpan w:val="3"/>
            <w:tcBorders>
              <w:right w:val="single" w:sz="6" w:space="0" w:color="D3D3D3"/>
            </w:tcBorders>
          </w:tcPr>
          <w:p w:rsidR="0037644C" w:rsidRPr="0037644C" w:rsidRDefault="0037644C" w:rsidP="00E64D3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SVEUKUPNO</w:t>
            </w:r>
          </w:p>
        </w:tc>
        <w:tc>
          <w:tcPr>
            <w:tcW w:w="1619" w:type="dxa"/>
            <w:tcBorders>
              <w:left w:val="single" w:sz="6" w:space="0" w:color="D3D3D3"/>
            </w:tcBorders>
          </w:tcPr>
          <w:p w:rsidR="0037644C" w:rsidRDefault="0037644C" w:rsidP="0037644C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1.1</w:t>
            </w:r>
            <w:r>
              <w:rPr>
                <w:rFonts w:ascii="Calibri"/>
                <w:sz w:val="18"/>
              </w:rPr>
              <w:t>8</w:t>
            </w:r>
            <w:r w:rsidRPr="0037644C">
              <w:rPr>
                <w:rFonts w:ascii="Calibri"/>
                <w:sz w:val="18"/>
              </w:rPr>
              <w:t>5.000,00</w:t>
            </w:r>
          </w:p>
        </w:tc>
        <w:tc>
          <w:tcPr>
            <w:tcW w:w="3077" w:type="dxa"/>
            <w:tcBorders>
              <w:bottom w:val="single" w:sz="6" w:space="0" w:color="D3D3D3"/>
              <w:right w:val="single" w:sz="6" w:space="0" w:color="D3D3D3"/>
            </w:tcBorders>
          </w:tcPr>
          <w:p w:rsidR="0037644C" w:rsidRDefault="0037644C" w:rsidP="00E64D3A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7644C" w:rsidRDefault="0037644C" w:rsidP="00E64D3A">
            <w:pPr>
              <w:pStyle w:val="TableParagraph"/>
              <w:rPr>
                <w:sz w:val="16"/>
              </w:rPr>
            </w:pPr>
          </w:p>
        </w:tc>
      </w:tr>
    </w:tbl>
    <w:p w:rsidR="0037644C" w:rsidRDefault="0037644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7644C" w:rsidRPr="00601DAB" w:rsidRDefault="0037644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Pr="00383191" w:rsidRDefault="00F01F6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ugovornih odnosa i slično koji uz ispunjenje određenih uvjeta, mogu postati obveza ili imovina općine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>dana</w:t>
      </w:r>
      <w:r w:rsidR="00326B28" w:rsidRPr="00383191">
        <w:rPr>
          <w:rFonts w:ascii="Times New Roman" w:eastAsia="Times New Roman" w:hAnsi="Times New Roman"/>
          <w:sz w:val="24"/>
          <w:szCs w:val="24"/>
          <w:lang w:eastAsia="hr-HR"/>
        </w:rPr>
        <w:t>/primljena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– zadužnice kao instrumenti osiguranja plaćanja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koje na dan 31.12.20</w:t>
      </w:r>
      <w:r w:rsidR="008164F0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8164F0" w:rsidRPr="0038319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iznose 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1.185.000,00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. Uvedena je i dana zadužnica po dugoročnom kreditu koji Općina ima kod ZABA d.d. budući ista nije uvedena u 2021.godini. Iznosi 11.130.535,59 kuna i obuhvaća iznos glavnice, ugovorene kamate te iznos naknada.</w:t>
      </w:r>
    </w:p>
    <w:p w:rsidR="00685325" w:rsidRPr="00383191" w:rsidRDefault="0068532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D1EC0" w:rsidRPr="00685325" w:rsidRDefault="0068532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 xml:space="preserve">U 2022. godini u </w:t>
      </w:r>
      <w:proofErr w:type="spellStart"/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>izvanbilančne</w:t>
      </w:r>
      <w:proofErr w:type="spellEnd"/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 xml:space="preserve"> zapise uvele su se već ugovorene vrijednosti koje mogu postati obveza u idućem razdoblju. Vrijednost takvih obveza na dan 31.12.2022.godine iznosi 5.681.954,58 kuna.</w:t>
      </w:r>
    </w:p>
    <w:p w:rsidR="003B3438" w:rsidRPr="00601DAB" w:rsidRDefault="003B3438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Pr="00383191" w:rsidRDefault="00586E5C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>Tablica 2: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 w:rsidR="00702721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Potencijalne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obveze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po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osnovu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sudskih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sporova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u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tijeku</w:t>
      </w:r>
      <w:proofErr w:type="spellEnd"/>
    </w:p>
    <w:p w:rsidR="00586E5C" w:rsidRPr="00601DAB" w:rsidRDefault="009D1EC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601DAB">
        <w:rPr>
          <w:rFonts w:ascii="Times New Roman" w:hAnsi="Times New Roman"/>
          <w:noProof/>
          <w:color w:val="FF0000"/>
          <w:sz w:val="24"/>
          <w:szCs w:val="24"/>
          <w:lang w:eastAsia="hr-HR"/>
        </w:rPr>
        <w:lastRenderedPageBreak/>
        <w:drawing>
          <wp:inline distT="0" distB="0" distL="0" distR="0">
            <wp:extent cx="5760720" cy="5200267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Pr="0099756E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U 2022. godini sudski sporovi su se ažurirali odnosno dopunili na dan 31.12.2022. godine</w:t>
      </w:r>
      <w:r w:rsidR="00383191"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i to:</w:t>
      </w:r>
    </w:p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2268"/>
        <w:gridCol w:w="2126"/>
        <w:gridCol w:w="1417"/>
      </w:tblGrid>
      <w:tr w:rsidR="00383191" w:rsidRPr="00383191" w:rsidTr="0038319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Rb.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 xml:space="preserve">Tužitelj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Sažeti opis prirode posla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Iznos glavnice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Početak sudskog spora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Matulj Branko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6.000,01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24.01.2022.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Frane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10.000,01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26.01.2022.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Josip Mustać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10.000,01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25.02.2022.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Vedran Glavan i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01.03.2022.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5.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Mladen Surić i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osporavanja oporuke,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202.001,00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28.03.2022.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6.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Božidar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13.05.2022.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7.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Dragan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03.06.2022.</w:t>
            </w:r>
          </w:p>
        </w:tc>
      </w:tr>
      <w:tr w:rsidR="00383191" w:rsidRPr="00383191" w:rsidTr="0038319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8.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Zdenko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15.000,00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20.12.2022.</w:t>
            </w:r>
          </w:p>
        </w:tc>
      </w:tr>
    </w:tbl>
    <w:p w:rsidR="00383191" w:rsidRPr="00383191" w:rsidRDefault="00383191" w:rsidP="00383191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2268"/>
        <w:gridCol w:w="2126"/>
        <w:gridCol w:w="1417"/>
      </w:tblGrid>
      <w:tr w:rsidR="00383191" w:rsidRPr="00383191" w:rsidTr="0038319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Rb.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 xml:space="preserve">Tuženik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Sažeti opis prirode posla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Iznos glavnice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Početak sudskog spora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Marko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101.000,00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      8.2.2022.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Begonja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Vjekoslav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222.000,00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24.9.2021.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Anka i Marina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101.000,00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8.2.2022.</w:t>
            </w:r>
          </w:p>
        </w:tc>
      </w:tr>
    </w:tbl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Pr="00601DAB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72955" w:rsidRPr="0099756E" w:rsidRDefault="0037295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Tuženik, koji za općinu </w:t>
      </w:r>
      <w:proofErr w:type="spellStart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obveza odnosno rashod na dan 31.12.20</w:t>
      </w:r>
      <w:r w:rsidR="008164F0" w:rsidRPr="0099756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83191" w:rsidRPr="0099756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99756E" w:rsidRPr="0099756E">
        <w:rPr>
          <w:rFonts w:ascii="Times New Roman" w:eastAsia="Times New Roman" w:hAnsi="Times New Roman"/>
          <w:sz w:val="24"/>
          <w:szCs w:val="24"/>
          <w:lang w:eastAsia="hr-HR"/>
        </w:rPr>
        <w:t>75.706.446,18</w:t>
      </w: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6F55B7" w:rsidRPr="00601DAB" w:rsidRDefault="006F55B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591" w:rsidRPr="00601DAB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1C4EAF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Tablica </w:t>
      </w:r>
      <w:r w:rsidR="001C4EAF"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>3:</w:t>
      </w:r>
      <w:r w:rsidR="001C4EAF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; Potencijalna potraživanja po osnovu sudskih sporova u tijeku</w:t>
      </w:r>
    </w:p>
    <w:p w:rsidR="001C4EAF" w:rsidRPr="00601DAB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702721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383191">
        <w:rPr>
          <w:rFonts w:ascii="Times New Roman" w:hAnsi="Times New Roman"/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5760720" cy="92796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91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2694"/>
        <w:gridCol w:w="1417"/>
        <w:gridCol w:w="2126"/>
      </w:tblGrid>
      <w:tr w:rsidR="00383191" w:rsidRPr="00383191" w:rsidTr="0037644C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Tuženik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Sažeti opis prirode posla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Početak sudskog spora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Marko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101.000,00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8.2.2022.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Begonja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Vjekoslav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222.000,00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24.9.2021.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Anka i Marina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101.000,00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8.2.2022.</w:t>
            </w:r>
          </w:p>
        </w:tc>
      </w:tr>
      <w:tr w:rsidR="0037644C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424.000,00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83191" w:rsidRPr="00601DAB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02721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Tužitelj, a koji za općinu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prihod na dan 31.12.202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836.000,01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1C4EAF" w:rsidRPr="00601DAB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1C4EAF" w:rsidRPr="00601DAB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372955" w:rsidRPr="00020381" w:rsidRDefault="009D24F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038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1, </w:t>
      </w:r>
      <w:r w:rsidR="00020381" w:rsidRPr="00020381">
        <w:rPr>
          <w:rFonts w:ascii="Times New Roman" w:eastAsia="Times New Roman" w:hAnsi="Times New Roman"/>
          <w:b/>
          <w:sz w:val="24"/>
          <w:szCs w:val="24"/>
          <w:lang w:eastAsia="hr-HR"/>
        </w:rPr>
        <w:t>šifra 01</w:t>
      </w:r>
    </w:p>
    <w:p w:rsidR="009D24F2" w:rsidRPr="00601DAB" w:rsidRDefault="009D24F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D24F2" w:rsidRPr="00B5607D" w:rsidRDefault="00127AA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>Neproizvedena</w:t>
      </w:r>
      <w:proofErr w:type="spellEnd"/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dugotrajna</w:t>
      </w:r>
      <w:r w:rsidR="009D24F2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</w:t>
      </w:r>
      <w:r w:rsidR="009D24F2"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7265BD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iznosi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22.572.294,93</w:t>
      </w:r>
      <w:r w:rsidR="00E45C16" w:rsidRPr="00B5607D">
        <w:rPr>
          <w:rFonts w:ascii="Times New Roman" w:eastAsia="Times New Roman" w:hAnsi="Times New Roman"/>
          <w:sz w:val="24"/>
          <w:szCs w:val="24"/>
          <w:lang w:eastAsia="hr-HR"/>
        </w:rPr>
        <w:t>86</w:t>
      </w:r>
      <w:r w:rsidR="007265BD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kn </w:t>
      </w:r>
      <w:r w:rsidR="009D24F2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što je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gotovo isto kao na  početku razdoblja.</w:t>
      </w:r>
    </w:p>
    <w:p w:rsidR="00AD7591" w:rsidRPr="00601DAB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1F27B0" w:rsidRPr="00B5607D" w:rsidRDefault="001F27B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2, </w:t>
      </w:r>
      <w:r w:rsidR="00B5607D"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>šifra 02</w:t>
      </w:r>
    </w:p>
    <w:p w:rsidR="001F27B0" w:rsidRPr="00B5607D" w:rsidRDefault="001F27B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C2CE5" w:rsidRPr="00B5607D" w:rsidRDefault="00127AA9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Proizvedena dugotrajna</w:t>
      </w:r>
      <w:r w:rsidR="00F268A7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</w:t>
      </w:r>
      <w:r w:rsidR="00F268A7"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F27B0" w:rsidRPr="00B5607D">
        <w:rPr>
          <w:rFonts w:ascii="Times New Roman" w:eastAsia="Times New Roman" w:hAnsi="Times New Roman"/>
          <w:sz w:val="24"/>
          <w:szCs w:val="24"/>
          <w:lang w:eastAsia="hr-HR"/>
        </w:rPr>
        <w:t>je u toku godine povećana</w:t>
      </w: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56,6</w:t>
      </w: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početno stanje </w:t>
      </w:r>
      <w:r w:rsidR="001F27B0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te iznosi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39.258.403,48</w:t>
      </w:r>
      <w:r w:rsidR="001F27B0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. Značajna povećanja odnose se </w:t>
      </w:r>
      <w:r w:rsidR="0047429B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5C540A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vrijednosti </w:t>
      </w:r>
      <w:r w:rsidR="006014AA" w:rsidRPr="00B5607D">
        <w:rPr>
          <w:rFonts w:ascii="Times New Roman" w:eastAsia="Times New Roman" w:hAnsi="Times New Roman"/>
          <w:sz w:val="24"/>
          <w:szCs w:val="24"/>
          <w:lang w:eastAsia="hr-HR"/>
        </w:rPr>
        <w:t>građ</w:t>
      </w:r>
      <w:r w:rsidR="008333FF" w:rsidRPr="00B5607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014AA" w:rsidRPr="00B5607D">
        <w:rPr>
          <w:rFonts w:ascii="Times New Roman" w:eastAsia="Times New Roman" w:hAnsi="Times New Roman"/>
          <w:sz w:val="24"/>
          <w:szCs w:val="24"/>
          <w:lang w:eastAsia="hr-HR"/>
        </w:rPr>
        <w:t>vinskih objekata</w:t>
      </w:r>
      <w:r w:rsidR="0047429B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i opreme zbog izgradnje dječjeg vrtića i nabave opreme</w:t>
      </w:r>
    </w:p>
    <w:p w:rsidR="0047429B" w:rsidRPr="00601DAB" w:rsidRDefault="0047429B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2CE5" w:rsidRPr="00B5607D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3, </w:t>
      </w:r>
      <w:r w:rsidR="00B5607D"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>šifra 024</w:t>
      </w:r>
    </w:p>
    <w:p w:rsidR="00B5607D" w:rsidRDefault="00B5607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607D" w:rsidRPr="00B5607D" w:rsidRDefault="00B5607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>Knjige, umjetnička djela i ostale izložbene vrijednosti na kraju godine iznosi 359.859,92 kuna znatno više nego na početku godine. Ne radi se o nabavi već je izvršena reklasifikacija sa konta 02146.</w:t>
      </w:r>
    </w:p>
    <w:p w:rsidR="004C2CE5" w:rsidRPr="00601DAB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761F45" w:rsidRPr="00601DAB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početno stanje (stanje 01.01.) vidljivo je </w:t>
      </w:r>
      <w:r w:rsidR="00A60DD5" w:rsidRPr="00A60DD5">
        <w:rPr>
          <w:rFonts w:ascii="Times New Roman" w:eastAsia="Times New Roman" w:hAnsi="Times New Roman"/>
          <w:sz w:val="24"/>
          <w:szCs w:val="24"/>
          <w:lang w:eastAsia="hr-HR"/>
        </w:rPr>
        <w:t>smanjenje</w:t>
      </w:r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novčanih sredstava na poslovnom računu općine </w:t>
      </w:r>
      <w:proofErr w:type="spellStart"/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47429B"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i to za </w:t>
      </w:r>
      <w:r w:rsidR="00A60DD5" w:rsidRPr="00A60DD5">
        <w:rPr>
          <w:rFonts w:ascii="Times New Roman" w:eastAsia="Times New Roman" w:hAnsi="Times New Roman"/>
          <w:sz w:val="24"/>
          <w:szCs w:val="24"/>
          <w:lang w:eastAsia="hr-HR"/>
        </w:rPr>
        <w:t>7,4</w:t>
      </w:r>
      <w:r w:rsidR="0047429B"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% </w:t>
      </w:r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>. Stanje novaca na računa kod poslovne banke na dan 31.12.202</w:t>
      </w:r>
      <w:r w:rsidR="00A60DD5" w:rsidRPr="00A60DD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. iznosi </w:t>
      </w:r>
      <w:r w:rsidR="00A60DD5" w:rsidRPr="00A60DD5">
        <w:rPr>
          <w:rFonts w:ascii="Times New Roman" w:eastAsia="Times New Roman" w:hAnsi="Times New Roman"/>
          <w:sz w:val="24"/>
          <w:szCs w:val="24"/>
          <w:lang w:eastAsia="hr-HR"/>
        </w:rPr>
        <w:t>8.658.216,47</w:t>
      </w:r>
      <w:r w:rsidR="00E4402C" w:rsidRPr="00A60DD5">
        <w:rPr>
          <w:rFonts w:ascii="Times New Roman" w:eastAsia="Times New Roman" w:hAnsi="Times New Roman"/>
          <w:sz w:val="24"/>
          <w:szCs w:val="24"/>
          <w:lang w:eastAsia="hr-HR"/>
        </w:rPr>
        <w:t>41</w:t>
      </w:r>
      <w:r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kn, dok stanje novaca</w:t>
      </w:r>
      <w:r w:rsidR="00761F45"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u blagajni iznosi </w:t>
      </w:r>
      <w:r w:rsidR="00A60DD5" w:rsidRPr="00A60DD5">
        <w:rPr>
          <w:rFonts w:ascii="Times New Roman" w:eastAsia="Times New Roman" w:hAnsi="Times New Roman"/>
          <w:sz w:val="24"/>
          <w:szCs w:val="24"/>
          <w:lang w:eastAsia="hr-HR"/>
        </w:rPr>
        <w:t>1.137,64</w:t>
      </w:r>
      <w:r w:rsidR="00761F45" w:rsidRPr="00A60DD5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761F45" w:rsidRPr="00601DAB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.</w:t>
      </w:r>
    </w:p>
    <w:p w:rsidR="00AD7591" w:rsidRPr="00601DAB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728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4, </w:t>
      </w:r>
      <w:r w:rsidR="00287282" w:rsidRPr="00287282">
        <w:rPr>
          <w:rFonts w:ascii="Times New Roman" w:eastAsia="Times New Roman" w:hAnsi="Times New Roman"/>
          <w:b/>
          <w:sz w:val="24"/>
          <w:szCs w:val="24"/>
          <w:lang w:eastAsia="hr-HR"/>
        </w:rPr>
        <w:t>šifra 129</w:t>
      </w: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2CE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87282">
        <w:rPr>
          <w:rFonts w:ascii="Times New Roman" w:eastAsia="Times New Roman" w:hAnsi="Times New Roman"/>
          <w:sz w:val="24"/>
          <w:szCs w:val="24"/>
          <w:lang w:eastAsia="hr-HR"/>
        </w:rPr>
        <w:t xml:space="preserve">Ostala potraživanja u iznosu od </w:t>
      </w:r>
      <w:r w:rsidR="00287282" w:rsidRPr="00287282">
        <w:rPr>
          <w:rFonts w:ascii="Times New Roman" w:eastAsia="Times New Roman" w:hAnsi="Times New Roman"/>
          <w:sz w:val="24"/>
          <w:szCs w:val="24"/>
          <w:lang w:eastAsia="hr-HR"/>
        </w:rPr>
        <w:t>15.583,25</w:t>
      </w:r>
      <w:r w:rsidR="002B5D8C" w:rsidRPr="00287282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Pr="00287282">
        <w:rPr>
          <w:rFonts w:ascii="Times New Roman" w:eastAsia="Times New Roman" w:hAnsi="Times New Roman"/>
          <w:sz w:val="24"/>
          <w:szCs w:val="24"/>
          <w:lang w:eastAsia="hr-HR"/>
        </w:rPr>
        <w:t xml:space="preserve"> kn odnose se na potraživanja za </w:t>
      </w:r>
      <w:r w:rsidR="00007D3F" w:rsidRPr="00287282">
        <w:rPr>
          <w:rFonts w:ascii="Times New Roman" w:eastAsia="Times New Roman" w:hAnsi="Times New Roman"/>
          <w:sz w:val="24"/>
          <w:szCs w:val="24"/>
          <w:lang w:eastAsia="hr-HR"/>
        </w:rPr>
        <w:t>plaćeni predujam za vodovodni priključak trgovačko</w:t>
      </w:r>
      <w:r w:rsidR="00287282" w:rsidRPr="00287282">
        <w:rPr>
          <w:rFonts w:ascii="Times New Roman" w:eastAsia="Times New Roman" w:hAnsi="Times New Roman"/>
          <w:sz w:val="24"/>
          <w:szCs w:val="24"/>
          <w:lang w:eastAsia="hr-HR"/>
        </w:rPr>
        <w:t>m društvu Vodovod d.o.o., Zadar i HEP opskrba.</w:t>
      </w:r>
    </w:p>
    <w:p w:rsidR="00761F45" w:rsidRPr="00601DAB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728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5, AOP </w:t>
      </w:r>
      <w:r w:rsidR="00007D3F" w:rsidRPr="00287282">
        <w:rPr>
          <w:rFonts w:ascii="Times New Roman" w:eastAsia="Times New Roman" w:hAnsi="Times New Roman"/>
          <w:b/>
          <w:sz w:val="24"/>
          <w:szCs w:val="24"/>
          <w:lang w:eastAsia="hr-HR"/>
        </w:rPr>
        <w:t>134</w:t>
      </w: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1F45" w:rsidRPr="00601DAB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287282">
        <w:rPr>
          <w:rFonts w:ascii="Times New Roman" w:eastAsia="Times New Roman" w:hAnsi="Times New Roman"/>
          <w:sz w:val="24"/>
          <w:szCs w:val="24"/>
          <w:lang w:eastAsia="hr-HR"/>
        </w:rPr>
        <w:t xml:space="preserve">Dionice i udjeli u glavnici </w:t>
      </w:r>
      <w:r w:rsidR="00007D3F" w:rsidRPr="00287282">
        <w:rPr>
          <w:rFonts w:ascii="Times New Roman" w:eastAsia="Times New Roman" w:hAnsi="Times New Roman"/>
          <w:sz w:val="24"/>
          <w:szCs w:val="24"/>
          <w:lang w:eastAsia="hr-HR"/>
        </w:rPr>
        <w:t>veći su u</w:t>
      </w:r>
      <w:r w:rsidRPr="00287282"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početno stanje te iznose </w:t>
      </w:r>
      <w:r w:rsidR="00287282" w:rsidRPr="00287282">
        <w:rPr>
          <w:rFonts w:ascii="Times New Roman" w:eastAsia="Times New Roman" w:hAnsi="Times New Roman"/>
          <w:sz w:val="24"/>
          <w:szCs w:val="24"/>
          <w:lang w:eastAsia="hr-HR"/>
        </w:rPr>
        <w:t>2.888.000,00</w:t>
      </w:r>
      <w:r w:rsidRPr="00287282">
        <w:rPr>
          <w:rFonts w:ascii="Times New Roman" w:eastAsia="Times New Roman" w:hAnsi="Times New Roman"/>
          <w:sz w:val="24"/>
          <w:szCs w:val="24"/>
          <w:lang w:eastAsia="hr-HR"/>
        </w:rPr>
        <w:t xml:space="preserve">kn a odnose se na </w:t>
      </w:r>
      <w:r w:rsidR="00007D3F" w:rsidRPr="00287282">
        <w:rPr>
          <w:rFonts w:ascii="Times New Roman" w:eastAsia="Times New Roman" w:hAnsi="Times New Roman"/>
          <w:sz w:val="24"/>
          <w:szCs w:val="24"/>
          <w:lang w:eastAsia="hr-HR"/>
        </w:rPr>
        <w:t>dokapitalizaciju OKD Artić</w:t>
      </w:r>
      <w:r w:rsidRPr="00601DAB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.</w:t>
      </w:r>
    </w:p>
    <w:p w:rsidR="00761F45" w:rsidRPr="00601DAB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7282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6, AOP 141</w:t>
      </w:r>
    </w:p>
    <w:p w:rsidR="00761F45" w:rsidRPr="00287282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039E" w:rsidRPr="00287282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7282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2E680E" w:rsidRPr="00287282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287282" w:rsidRPr="00287282">
        <w:rPr>
          <w:rFonts w:ascii="Times New Roman" w:hAnsi="Times New Roman" w:cs="Times New Roman"/>
          <w:sz w:val="24"/>
          <w:szCs w:val="24"/>
        </w:rPr>
        <w:t>2</w:t>
      </w:r>
      <w:r w:rsidR="002E680E" w:rsidRPr="00287282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287282" w:rsidRPr="00287282">
        <w:rPr>
          <w:rFonts w:ascii="Times New Roman" w:hAnsi="Times New Roman" w:cs="Times New Roman"/>
          <w:sz w:val="24"/>
          <w:szCs w:val="24"/>
        </w:rPr>
        <w:t>9.69</w:t>
      </w:r>
      <w:r w:rsidR="00676AC7">
        <w:rPr>
          <w:rFonts w:ascii="Times New Roman" w:hAnsi="Times New Roman" w:cs="Times New Roman"/>
          <w:sz w:val="24"/>
          <w:szCs w:val="24"/>
        </w:rPr>
        <w:t>4</w:t>
      </w:r>
      <w:r w:rsidR="00287282" w:rsidRPr="00287282">
        <w:rPr>
          <w:rFonts w:ascii="Times New Roman" w:hAnsi="Times New Roman" w:cs="Times New Roman"/>
          <w:sz w:val="24"/>
          <w:szCs w:val="24"/>
        </w:rPr>
        <w:t>.281,76</w:t>
      </w:r>
      <w:r w:rsidR="002E680E" w:rsidRPr="00287282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287282" w:rsidRPr="00287282">
        <w:rPr>
          <w:rFonts w:ascii="Times New Roman" w:hAnsi="Times New Roman" w:cs="Times New Roman"/>
          <w:sz w:val="24"/>
          <w:szCs w:val="24"/>
        </w:rPr>
        <w:t>52,4</w:t>
      </w:r>
      <w:r w:rsidR="002E680E" w:rsidRPr="00287282">
        <w:rPr>
          <w:rFonts w:ascii="Times New Roman" w:hAnsi="Times New Roman" w:cs="Times New Roman"/>
          <w:sz w:val="24"/>
          <w:szCs w:val="24"/>
        </w:rPr>
        <w:t xml:space="preserve"> % </w:t>
      </w:r>
      <w:r w:rsidR="00287282" w:rsidRPr="00287282">
        <w:rPr>
          <w:rFonts w:ascii="Times New Roman" w:hAnsi="Times New Roman" w:cs="Times New Roman"/>
          <w:sz w:val="24"/>
          <w:szCs w:val="24"/>
        </w:rPr>
        <w:t>više</w:t>
      </w:r>
      <w:r w:rsidR="002E680E" w:rsidRPr="00287282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37039E" w:rsidRPr="00287282">
        <w:rPr>
          <w:rFonts w:ascii="Times New Roman" w:hAnsi="Times New Roman" w:cs="Times New Roman"/>
          <w:sz w:val="24"/>
          <w:szCs w:val="24"/>
        </w:rPr>
        <w:t xml:space="preserve">početno stanje (stanje 01.01.). </w:t>
      </w:r>
      <w:r w:rsidRPr="00287282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te na potraživanja za upravne i administrativne pristojbe, pristojbe p</w:t>
      </w:r>
      <w:r w:rsidR="002E680E" w:rsidRPr="00287282">
        <w:rPr>
          <w:rFonts w:ascii="Times New Roman" w:hAnsi="Times New Roman" w:cs="Times New Roman"/>
          <w:sz w:val="24"/>
          <w:szCs w:val="24"/>
        </w:rPr>
        <w:t>o posebnim propisima i naknade, potraživanja za prihode od prodaje roba i usluga te pruženih usluga</w:t>
      </w:r>
      <w:r w:rsidR="0037039E" w:rsidRPr="00287282">
        <w:rPr>
          <w:rFonts w:ascii="Times New Roman" w:hAnsi="Times New Roman" w:cs="Times New Roman"/>
          <w:sz w:val="24"/>
          <w:szCs w:val="24"/>
        </w:rPr>
        <w:t>, te su manja u odnosu na prethodnu godinu zbog naplate potraživanja iz prethodnih godina a koja se odnose na potraživanja za komunalni doprinos - novogradnju.</w:t>
      </w:r>
    </w:p>
    <w:p w:rsidR="00761F45" w:rsidRPr="00601DAB" w:rsidRDefault="00761F45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45" w:rsidRPr="00287282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7282">
        <w:rPr>
          <w:rFonts w:ascii="Times New Roman" w:hAnsi="Times New Roman" w:cs="Times New Roman"/>
          <w:sz w:val="24"/>
          <w:szCs w:val="24"/>
        </w:rPr>
        <w:t xml:space="preserve">Potraživanja za poreze odnose na potraživanja za porez na potrošnju, porez na tvrtku, porez na kuće za odmor i porez na promet nekretnina. Navedena potraživanja iznose </w:t>
      </w:r>
      <w:r w:rsidR="00287282" w:rsidRPr="00287282">
        <w:rPr>
          <w:rFonts w:ascii="Times New Roman" w:hAnsi="Times New Roman" w:cs="Times New Roman"/>
          <w:sz w:val="24"/>
          <w:szCs w:val="24"/>
        </w:rPr>
        <w:t>1.679.663,46</w:t>
      </w:r>
      <w:r w:rsidRPr="00287282">
        <w:rPr>
          <w:rFonts w:ascii="Times New Roman" w:hAnsi="Times New Roman" w:cs="Times New Roman"/>
          <w:sz w:val="24"/>
          <w:szCs w:val="24"/>
        </w:rPr>
        <w:t xml:space="preserve"> kn, a</w:t>
      </w:r>
      <w:r w:rsidR="007851A4" w:rsidRPr="00287282">
        <w:rPr>
          <w:rFonts w:ascii="Times New Roman" w:hAnsi="Times New Roman" w:cs="Times New Roman"/>
          <w:sz w:val="24"/>
          <w:szCs w:val="24"/>
        </w:rPr>
        <w:t xml:space="preserve"> najveći dio odnosi se na porez na promet nekretnina utvrđivanje i naplatu kojeg vodi</w:t>
      </w:r>
      <w:r w:rsidRPr="00287282">
        <w:rPr>
          <w:rFonts w:ascii="Times New Roman" w:hAnsi="Times New Roman" w:cs="Times New Roman"/>
          <w:sz w:val="24"/>
          <w:szCs w:val="24"/>
        </w:rPr>
        <w:t xml:space="preserve"> Porezna uprava Zadar</w:t>
      </w:r>
      <w:r w:rsidR="00287282" w:rsidRPr="00287282">
        <w:rPr>
          <w:rFonts w:ascii="Times New Roman" w:hAnsi="Times New Roman" w:cs="Times New Roman"/>
          <w:sz w:val="24"/>
          <w:szCs w:val="24"/>
        </w:rPr>
        <w:t>, ali i za porez na kuće za odmor.</w:t>
      </w:r>
    </w:p>
    <w:p w:rsidR="00761F45" w:rsidRPr="00601DAB" w:rsidRDefault="00761F45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1A4" w:rsidRPr="00287282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7282">
        <w:rPr>
          <w:rFonts w:ascii="Times New Roman" w:hAnsi="Times New Roman" w:cs="Times New Roman"/>
          <w:sz w:val="24"/>
          <w:szCs w:val="24"/>
        </w:rPr>
        <w:t xml:space="preserve">Potraživanja za prihode od imovine iznose </w:t>
      </w:r>
      <w:r w:rsidR="00287282" w:rsidRPr="00287282">
        <w:rPr>
          <w:rFonts w:ascii="Times New Roman" w:hAnsi="Times New Roman" w:cs="Times New Roman"/>
          <w:sz w:val="24"/>
          <w:szCs w:val="24"/>
        </w:rPr>
        <w:t>97.389,79</w:t>
      </w:r>
      <w:r w:rsidRPr="00287282">
        <w:rPr>
          <w:rFonts w:ascii="Times New Roman" w:hAnsi="Times New Roman" w:cs="Times New Roman"/>
          <w:sz w:val="24"/>
          <w:szCs w:val="24"/>
        </w:rPr>
        <w:t xml:space="preserve"> kn i odnos</w:t>
      </w:r>
      <w:r w:rsidR="007851A4" w:rsidRPr="00287282">
        <w:rPr>
          <w:rFonts w:ascii="Times New Roman" w:hAnsi="Times New Roman" w:cs="Times New Roman"/>
          <w:sz w:val="24"/>
          <w:szCs w:val="24"/>
        </w:rPr>
        <w:t>e</w:t>
      </w:r>
      <w:r w:rsidRPr="00287282">
        <w:rPr>
          <w:rFonts w:ascii="Times New Roman" w:hAnsi="Times New Roman" w:cs="Times New Roman"/>
          <w:sz w:val="24"/>
          <w:szCs w:val="24"/>
        </w:rPr>
        <w:t xml:space="preserve"> se na potraživanja od z</w:t>
      </w:r>
      <w:r w:rsidR="007851A4" w:rsidRPr="00287282">
        <w:rPr>
          <w:rFonts w:ascii="Times New Roman" w:hAnsi="Times New Roman" w:cs="Times New Roman"/>
          <w:sz w:val="24"/>
          <w:szCs w:val="24"/>
        </w:rPr>
        <w:t>akupa i iznajmljivanja imovine</w:t>
      </w:r>
      <w:r w:rsidR="00FC01D2" w:rsidRPr="00287282">
        <w:rPr>
          <w:rFonts w:ascii="Times New Roman" w:hAnsi="Times New Roman" w:cs="Times New Roman"/>
          <w:sz w:val="24"/>
          <w:szCs w:val="24"/>
        </w:rPr>
        <w:t xml:space="preserve"> te potraživanja za koncesijska odobrenja.</w:t>
      </w:r>
    </w:p>
    <w:p w:rsidR="001129BA" w:rsidRPr="00601DAB" w:rsidRDefault="001129BA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29BA" w:rsidRPr="00287282" w:rsidRDefault="001129BA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7282">
        <w:rPr>
          <w:rFonts w:ascii="Times New Roman" w:hAnsi="Times New Roman" w:cs="Times New Roman"/>
          <w:sz w:val="24"/>
          <w:szCs w:val="24"/>
        </w:rPr>
        <w:t xml:space="preserve">Najveći dio potraživanja za prihode poslovanja odnosi se na potraživanja za upravne i administrativne pristojbe, pristojbe po posebnim propisima i naknade u ukupnom iznosu od </w:t>
      </w:r>
      <w:r w:rsidR="00287282" w:rsidRPr="00287282">
        <w:rPr>
          <w:rFonts w:ascii="Times New Roman" w:hAnsi="Times New Roman" w:cs="Times New Roman"/>
          <w:sz w:val="24"/>
          <w:szCs w:val="24"/>
        </w:rPr>
        <w:t>10.230.576,88</w:t>
      </w:r>
      <w:r w:rsidRPr="00287282">
        <w:rPr>
          <w:rFonts w:ascii="Times New Roman" w:hAnsi="Times New Roman" w:cs="Times New Roman"/>
          <w:sz w:val="24"/>
          <w:szCs w:val="24"/>
        </w:rPr>
        <w:t xml:space="preserve"> kn, odnosno najvećim dijelom na potraživanja za komunalne doprinose i komunalne naknade. Ostatak potraživanja odnosi se na prihode vodnog gospodarstva (naknada za razvoj vodoopskrbe i naknada za uređenje voda), </w:t>
      </w:r>
      <w:r w:rsidR="00FC01D2" w:rsidRPr="00287282">
        <w:rPr>
          <w:rFonts w:ascii="Times New Roman" w:hAnsi="Times New Roman" w:cs="Times New Roman"/>
          <w:sz w:val="24"/>
          <w:szCs w:val="24"/>
        </w:rPr>
        <w:t>naknade za zakup javne površine.</w:t>
      </w:r>
    </w:p>
    <w:p w:rsidR="00943567" w:rsidRPr="00601DAB" w:rsidRDefault="00943567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3299" w:rsidRPr="008749B6" w:rsidRDefault="0008329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49B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7, </w:t>
      </w:r>
      <w:r w:rsidR="00287282" w:rsidRPr="008749B6">
        <w:rPr>
          <w:rFonts w:ascii="Times New Roman" w:eastAsia="Times New Roman" w:hAnsi="Times New Roman"/>
          <w:b/>
          <w:sz w:val="24"/>
          <w:szCs w:val="24"/>
          <w:lang w:eastAsia="hr-HR"/>
        </w:rPr>
        <w:t>šifra 169</w:t>
      </w:r>
    </w:p>
    <w:p w:rsidR="001129BA" w:rsidRPr="008749B6" w:rsidRDefault="001129BA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028" w:rsidRPr="008749B6" w:rsidRDefault="00083299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B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D2298" w:rsidRPr="008749B6">
        <w:rPr>
          <w:rFonts w:ascii="Times New Roman" w:hAnsi="Times New Roman" w:cs="Times New Roman"/>
          <w:sz w:val="24"/>
          <w:szCs w:val="24"/>
        </w:rPr>
        <w:t>spravak vrijednosti potraživanja</w:t>
      </w:r>
      <w:r w:rsidR="00F268A7" w:rsidRPr="008749B6"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287282" w:rsidRPr="008749B6">
        <w:rPr>
          <w:rFonts w:ascii="Times New Roman" w:hAnsi="Times New Roman" w:cs="Times New Roman"/>
          <w:sz w:val="24"/>
          <w:szCs w:val="24"/>
        </w:rPr>
        <w:t>2</w:t>
      </w:r>
      <w:r w:rsidRPr="008749B6">
        <w:rPr>
          <w:rFonts w:ascii="Times New Roman" w:hAnsi="Times New Roman" w:cs="Times New Roman"/>
          <w:sz w:val="24"/>
          <w:szCs w:val="24"/>
        </w:rPr>
        <w:t>. godine iznosi</w:t>
      </w:r>
      <w:r w:rsidR="00F268A7" w:rsidRPr="008749B6">
        <w:rPr>
          <w:rFonts w:ascii="Times New Roman" w:hAnsi="Times New Roman" w:cs="Times New Roman"/>
          <w:sz w:val="24"/>
          <w:szCs w:val="24"/>
        </w:rPr>
        <w:t xml:space="preserve"> </w:t>
      </w:r>
      <w:r w:rsidR="00287282" w:rsidRPr="008749B6">
        <w:rPr>
          <w:rFonts w:ascii="Times New Roman" w:hAnsi="Times New Roman" w:cs="Times New Roman"/>
          <w:sz w:val="24"/>
          <w:szCs w:val="24"/>
        </w:rPr>
        <w:t>2.38</w:t>
      </w:r>
      <w:r w:rsidR="008749B6" w:rsidRPr="008749B6">
        <w:rPr>
          <w:rFonts w:ascii="Times New Roman" w:hAnsi="Times New Roman" w:cs="Times New Roman"/>
          <w:sz w:val="24"/>
          <w:szCs w:val="24"/>
        </w:rPr>
        <w:t>6</w:t>
      </w:r>
      <w:r w:rsidR="00287282" w:rsidRPr="008749B6">
        <w:rPr>
          <w:rFonts w:ascii="Times New Roman" w:hAnsi="Times New Roman" w:cs="Times New Roman"/>
          <w:sz w:val="24"/>
          <w:szCs w:val="24"/>
        </w:rPr>
        <w:t>.149</w:t>
      </w:r>
      <w:r w:rsidRPr="008749B6">
        <w:rPr>
          <w:rFonts w:ascii="Times New Roman" w:hAnsi="Times New Roman" w:cs="Times New Roman"/>
          <w:sz w:val="24"/>
          <w:szCs w:val="24"/>
        </w:rPr>
        <w:t xml:space="preserve"> kn što </w:t>
      </w:r>
      <w:r w:rsidR="00287282" w:rsidRPr="008749B6">
        <w:rPr>
          <w:rFonts w:ascii="Times New Roman" w:hAnsi="Times New Roman" w:cs="Times New Roman"/>
          <w:sz w:val="24"/>
          <w:szCs w:val="24"/>
        </w:rPr>
        <w:t>gotovo isto kao i na početku godine.</w:t>
      </w:r>
      <w:r w:rsidR="005F0B32" w:rsidRPr="008749B6"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Naime, t</w:t>
      </w:r>
      <w:r w:rsidR="00730028" w:rsidRPr="008749B6">
        <w:rPr>
          <w:rFonts w:ascii="Times New Roman" w:hAnsi="Times New Roman" w:cs="Times New Roman"/>
          <w:sz w:val="24"/>
          <w:szCs w:val="24"/>
        </w:rPr>
        <w:t xml:space="preserve">emeljem </w:t>
      </w:r>
      <w:r w:rsidR="008749B6" w:rsidRPr="008749B6">
        <w:rPr>
          <w:rFonts w:ascii="Times New Roman" w:hAnsi="Times New Roman" w:cs="Times New Roman"/>
          <w:sz w:val="24"/>
          <w:szCs w:val="24"/>
        </w:rPr>
        <w:t xml:space="preserve">pravilnika o računovodstvu i računskom planu proračuna </w:t>
      </w:r>
      <w:r w:rsidR="00730028" w:rsidRPr="008749B6">
        <w:rPr>
          <w:rFonts w:ascii="Times New Roman" w:hAnsi="Times New Roman" w:cs="Times New Roman"/>
          <w:sz w:val="24"/>
          <w:szCs w:val="24"/>
        </w:rPr>
        <w:t>propisano</w:t>
      </w:r>
      <w:r w:rsidR="008749B6" w:rsidRPr="008749B6">
        <w:rPr>
          <w:rFonts w:ascii="Times New Roman" w:hAnsi="Times New Roman" w:cs="Times New Roman"/>
          <w:sz w:val="24"/>
          <w:szCs w:val="24"/>
        </w:rPr>
        <w:t xml:space="preserve"> je</w:t>
      </w:r>
      <w:r w:rsidR="00730028" w:rsidRPr="008749B6">
        <w:rPr>
          <w:rFonts w:ascii="Times New Roman" w:hAnsi="Times New Roman" w:cs="Times New Roman"/>
          <w:sz w:val="24"/>
          <w:szCs w:val="24"/>
        </w:rPr>
        <w:t xml:space="preserve"> da se ispravak vrijednosti potraživanja obvezno provodi na kraju proračunske godine uzimajući u obzir:</w:t>
      </w:r>
    </w:p>
    <w:p w:rsidR="00730028" w:rsidRPr="008749B6" w:rsidRDefault="00730028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1. kašnjenje u naplati preko godine dana</w:t>
      </w:r>
    </w:p>
    <w:p w:rsidR="00943567" w:rsidRPr="008749B6" w:rsidRDefault="00730028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2. pokretanje stečajnog i/ili likvidacijskog pos</w:t>
      </w:r>
      <w:r w:rsidR="00083299" w:rsidRPr="008749B6">
        <w:rPr>
          <w:rFonts w:ascii="Times New Roman" w:hAnsi="Times New Roman"/>
          <w:sz w:val="24"/>
          <w:szCs w:val="24"/>
        </w:rPr>
        <w:t>tupka nad dužnikom.</w:t>
      </w:r>
    </w:p>
    <w:p w:rsidR="00B614BE" w:rsidRPr="008749B6" w:rsidRDefault="00B614B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299" w:rsidRPr="008749B6" w:rsidRDefault="00083299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49B6">
        <w:rPr>
          <w:rFonts w:ascii="Times New Roman" w:eastAsia="Times New Roman" w:hAnsi="Times New Roman"/>
          <w:sz w:val="24"/>
          <w:szCs w:val="24"/>
          <w:lang w:eastAsia="hr-HR"/>
        </w:rPr>
        <w:t>Struktura ispravka  vrijednosti potraživanja vidljiva je u tabeli koja slijedi:</w:t>
      </w:r>
    </w:p>
    <w:p w:rsidR="00083299" w:rsidRPr="008749B6" w:rsidRDefault="00083299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269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Ispravak vrijednosti potraživanja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tvrtku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20.934,42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 javne površine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35.887,00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20.258,65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kuću za odmor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536.953,54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177.786,24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480.962,14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uređenje voda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292.218,94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Katastarska izmjera</w:t>
            </w:r>
          </w:p>
        </w:tc>
        <w:tc>
          <w:tcPr>
            <w:tcW w:w="2693" w:type="dxa"/>
          </w:tcPr>
          <w:p w:rsidR="00083299" w:rsidRPr="008749B6" w:rsidRDefault="008749B6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594.766,50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693" w:type="dxa"/>
          </w:tcPr>
          <w:p w:rsidR="00083299" w:rsidRPr="008749B6" w:rsidRDefault="008749B6" w:rsidP="008749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226.381,57 kn</w:t>
            </w:r>
          </w:p>
        </w:tc>
      </w:tr>
      <w:tr w:rsidR="008749B6" w:rsidRPr="008749B6" w:rsidTr="000341D0">
        <w:tc>
          <w:tcPr>
            <w:tcW w:w="4503" w:type="dxa"/>
          </w:tcPr>
          <w:p w:rsidR="00083299" w:rsidRPr="008749B6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693" w:type="dxa"/>
          </w:tcPr>
          <w:p w:rsidR="00083299" w:rsidRPr="008749B6" w:rsidRDefault="008749B6" w:rsidP="008749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749B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2.386.149,00 kn</w:t>
            </w:r>
          </w:p>
        </w:tc>
      </w:tr>
    </w:tbl>
    <w:p w:rsidR="000341D0" w:rsidRPr="00601DAB" w:rsidRDefault="000341D0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8, </w:t>
      </w:r>
      <w:r w:rsidR="00141F8B"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>šifra 17</w:t>
      </w: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Potraživanja od prodaje nefinancijske imovine odnose se na potraživanja od prodaje zemljišta 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i ostale proizvedene dugotrajne imovine </w:t>
      </w: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te iznose 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>845.702,80</w:t>
      </w:r>
      <w:r w:rsidR="009F1E0E"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>za 392.102,80 kn</w:t>
      </w:r>
      <w:r w:rsidR="009F1E0E"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početno stanje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F1E0E"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E5511" w:rsidRPr="002E5511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511" w:rsidRPr="00601DAB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9, </w:t>
      </w:r>
      <w:r w:rsidR="002E5511"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>šifra 2</w:t>
      </w:r>
    </w:p>
    <w:p w:rsidR="002E5511" w:rsidRPr="002E5511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>Stanje obveza za rashode poslovanja na dan 31.12.202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. iznosi 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>11.990.056,66 kuna. I</w:t>
      </w: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ste </w:t>
      </w:r>
      <w:r w:rsidR="002E5511"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su </w:t>
      </w: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>detaljnije razrađene u Bilješkama uz obrazac Obveze.</w:t>
      </w:r>
    </w:p>
    <w:p w:rsidR="0058444F" w:rsidRPr="002E5511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Pr="002E5511" w:rsidRDefault="0058444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10, </w:t>
      </w:r>
      <w:r w:rsidR="002E5511" w:rsidRPr="002E5511">
        <w:rPr>
          <w:rFonts w:ascii="Times New Roman" w:eastAsia="Times New Roman" w:hAnsi="Times New Roman"/>
          <w:b/>
          <w:sz w:val="24"/>
          <w:szCs w:val="24"/>
          <w:lang w:eastAsia="hr-HR"/>
        </w:rPr>
        <w:t>šifra 9</w:t>
      </w:r>
    </w:p>
    <w:p w:rsidR="0058444F" w:rsidRPr="002E5511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Pr="002E5511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5511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777738" w:rsidRPr="002E5511">
        <w:rPr>
          <w:rFonts w:ascii="Times New Roman" w:hAnsi="Times New Roman" w:cs="Times New Roman"/>
          <w:sz w:val="24"/>
          <w:szCs w:val="24"/>
        </w:rPr>
        <w:t xml:space="preserve">povećali za </w:t>
      </w:r>
      <w:r w:rsidR="002E5511" w:rsidRPr="002E5511">
        <w:rPr>
          <w:rFonts w:ascii="Times New Roman" w:hAnsi="Times New Roman" w:cs="Times New Roman"/>
          <w:sz w:val="24"/>
          <w:szCs w:val="24"/>
        </w:rPr>
        <w:t>14,6</w:t>
      </w:r>
      <w:r w:rsidRPr="002E5511">
        <w:rPr>
          <w:rFonts w:ascii="Times New Roman" w:hAnsi="Times New Roman" w:cs="Times New Roman"/>
          <w:sz w:val="24"/>
          <w:szCs w:val="24"/>
        </w:rPr>
        <w:t xml:space="preserve"> % i iznose </w:t>
      </w:r>
      <w:r w:rsidR="002E5511" w:rsidRPr="002E5511">
        <w:rPr>
          <w:rFonts w:ascii="Times New Roman" w:hAnsi="Times New Roman" w:cs="Times New Roman"/>
          <w:sz w:val="24"/>
          <w:szCs w:val="24"/>
        </w:rPr>
        <w:t>71.957.015,14</w:t>
      </w:r>
      <w:r w:rsidRPr="002E5511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8444F" w:rsidRPr="002E5511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Pr="002E5511" w:rsidRDefault="0058444F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utvrđivanja rezultata temeljem </w:t>
      </w:r>
      <w:proofErr w:type="spellStart"/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>čl</w:t>
      </w:r>
      <w:proofErr w:type="spellEnd"/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 xml:space="preserve"> 81. i 82. Pravilnika o proračunskom računovodstvu i računskom planu najprije se provodi sučeljavanje prihoda i primitaka s rashodima i izdacima, te se utvrđuje njihova razlika kao višak ili manjak po tekućim, kapitalnim i financijskim aktivnostima (sučeljavanje skupina 3 i 6, 4 i 7, te 5 i 8). Nakon navedenog sučeljavanja provode se obvezne korekcije rezultata –za dio skupine prihoda 6 kojom se financira dio rashoda skupine 4, za dio skupine prihoda 7 kojom se financira dio rashoda skupine 3 te za dio skupine prihoda 7 kojom se financira dio izdataka skupine 5. </w:t>
      </w:r>
    </w:p>
    <w:p w:rsidR="000341D0" w:rsidRPr="002E5511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0A70" w:rsidRPr="002E5511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provedena je korekcija u iznosu od </w:t>
      </w:r>
      <w:r w:rsidR="002E5511" w:rsidRPr="002E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400.000,00 </w:t>
      </w:r>
      <w:r w:rsidRPr="002E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 za primljenu </w:t>
      </w:r>
      <w:r w:rsidRPr="002E5511">
        <w:rPr>
          <w:rFonts w:ascii="Times New Roman" w:hAnsi="Times New Roman" w:cs="Times New Roman"/>
          <w:sz w:val="24"/>
          <w:szCs w:val="24"/>
          <w:lang w:eastAsia="hr-HR"/>
        </w:rPr>
        <w:t xml:space="preserve">kapitalnu pomoć </w:t>
      </w:r>
      <w:r w:rsidR="00777738" w:rsidRPr="002E5511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2E5511" w:rsidRPr="002E5511">
        <w:rPr>
          <w:rFonts w:ascii="Times New Roman" w:hAnsi="Times New Roman" w:cs="Times New Roman"/>
          <w:sz w:val="24"/>
          <w:szCs w:val="24"/>
          <w:lang w:eastAsia="hr-HR"/>
        </w:rPr>
        <w:t xml:space="preserve">Ministarstva mora, prometa i infrastrukture za sanaciju </w:t>
      </w:r>
      <w:proofErr w:type="spellStart"/>
      <w:r w:rsidR="002E5511" w:rsidRPr="002E5511">
        <w:rPr>
          <w:rFonts w:ascii="Times New Roman" w:hAnsi="Times New Roman" w:cs="Times New Roman"/>
          <w:sz w:val="24"/>
          <w:szCs w:val="24"/>
          <w:lang w:eastAsia="hr-HR"/>
        </w:rPr>
        <w:t>pokosa</w:t>
      </w:r>
      <w:proofErr w:type="spellEnd"/>
      <w:r w:rsidR="002E5511" w:rsidRPr="002E5511">
        <w:rPr>
          <w:rFonts w:ascii="Times New Roman" w:hAnsi="Times New Roman" w:cs="Times New Roman"/>
          <w:sz w:val="24"/>
          <w:szCs w:val="24"/>
          <w:lang w:eastAsia="hr-HR"/>
        </w:rPr>
        <w:t xml:space="preserve">  na plaži </w:t>
      </w:r>
      <w:proofErr w:type="spellStart"/>
      <w:r w:rsidR="002E5511" w:rsidRPr="002E551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Sabunike</w:t>
      </w:r>
      <w:proofErr w:type="spellEnd"/>
      <w:r w:rsidRPr="002E551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90A70" w:rsidRPr="002E5511">
        <w:rPr>
          <w:rFonts w:ascii="Times New Roman" w:hAnsi="Times New Roman" w:cs="Times New Roman"/>
          <w:sz w:val="24"/>
          <w:szCs w:val="24"/>
        </w:rPr>
        <w:t xml:space="preserve">zaduženjem računa viška prihoda poslovanja, a odobravanjem računa manjka prihoda od nefinancijske imovine. </w:t>
      </w:r>
    </w:p>
    <w:p w:rsidR="005B2804" w:rsidRPr="00601DAB" w:rsidRDefault="005B2804" w:rsidP="00D17D1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341D0" w:rsidRPr="002E5511" w:rsidRDefault="005B2804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5511">
        <w:rPr>
          <w:rFonts w:ascii="Times New Roman" w:eastAsia="Times New Roman" w:hAnsi="Times New Roman"/>
          <w:sz w:val="24"/>
          <w:szCs w:val="24"/>
          <w:lang w:eastAsia="hr-HR"/>
        </w:rPr>
        <w:t>Podaci u bilanci se iskazuju nakon obvezne korekcije rezultata, iz čega proizlazi odstupanje u odnosu na podatke u obrascu PR-RAS.</w:t>
      </w:r>
    </w:p>
    <w:p w:rsidR="005B2804" w:rsidRPr="00601DAB" w:rsidRDefault="005B2804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2804" w:rsidRPr="00D515CA" w:rsidRDefault="005B2804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15CA">
        <w:rPr>
          <w:rFonts w:ascii="Times New Roman" w:hAnsi="Times New Roman" w:cs="Times New Roman"/>
          <w:sz w:val="24"/>
          <w:szCs w:val="24"/>
        </w:rPr>
        <w:t>Na dan 31. prosinca 202</w:t>
      </w:r>
      <w:r w:rsidR="002E5511" w:rsidRPr="00D515CA">
        <w:rPr>
          <w:rFonts w:ascii="Times New Roman" w:hAnsi="Times New Roman" w:cs="Times New Roman"/>
          <w:sz w:val="24"/>
          <w:szCs w:val="24"/>
        </w:rPr>
        <w:t>2</w:t>
      </w:r>
      <w:r w:rsidRPr="00D515CA">
        <w:rPr>
          <w:rFonts w:ascii="Times New Roman" w:hAnsi="Times New Roman" w:cs="Times New Roman"/>
          <w:sz w:val="24"/>
          <w:szCs w:val="24"/>
        </w:rPr>
        <w:t xml:space="preserve">. godine višak prihoda poslovanja iznosi </w:t>
      </w:r>
      <w:r w:rsidR="00D515CA" w:rsidRPr="00D515CA">
        <w:rPr>
          <w:rFonts w:ascii="Times New Roman" w:hAnsi="Times New Roman" w:cs="Times New Roman"/>
          <w:sz w:val="24"/>
          <w:szCs w:val="24"/>
        </w:rPr>
        <w:t xml:space="preserve">14.869.906,19 </w:t>
      </w:r>
      <w:r w:rsidRPr="00D515CA">
        <w:rPr>
          <w:rFonts w:ascii="Times New Roman" w:hAnsi="Times New Roman" w:cs="Times New Roman"/>
          <w:sz w:val="24"/>
          <w:szCs w:val="24"/>
        </w:rPr>
        <w:t xml:space="preserve">kn. Manjak prihoda od nefinancijske imovine iznosi </w:t>
      </w:r>
      <w:r w:rsidR="00D515CA" w:rsidRPr="00D515CA">
        <w:rPr>
          <w:rFonts w:ascii="Times New Roman" w:hAnsi="Times New Roman" w:cs="Times New Roman"/>
          <w:sz w:val="24"/>
          <w:szCs w:val="24"/>
        </w:rPr>
        <w:t>15.373.067,37</w:t>
      </w:r>
      <w:r w:rsidRPr="00D515CA">
        <w:rPr>
          <w:rFonts w:ascii="Times New Roman" w:hAnsi="Times New Roman" w:cs="Times New Roman"/>
          <w:sz w:val="24"/>
          <w:szCs w:val="24"/>
        </w:rPr>
        <w:t xml:space="preserve"> kn.</w:t>
      </w:r>
      <w:r w:rsidR="00D515CA" w:rsidRPr="00D515CA">
        <w:rPr>
          <w:rFonts w:ascii="Times New Roman" w:hAnsi="Times New Roman" w:cs="Times New Roman"/>
          <w:sz w:val="24"/>
          <w:szCs w:val="24"/>
        </w:rPr>
        <w:t xml:space="preserve"> Te višak primitaka od nefinancijske imovine 7.662.197,86 kn</w:t>
      </w:r>
      <w:r w:rsidRPr="00D515CA">
        <w:rPr>
          <w:rFonts w:ascii="Times New Roman" w:hAnsi="Times New Roman" w:cs="Times New Roman"/>
          <w:sz w:val="24"/>
          <w:szCs w:val="24"/>
        </w:rPr>
        <w:t xml:space="preserve"> Višak prihoda za raspored u sljedećoj proračunskoj godini iznosi </w:t>
      </w:r>
      <w:r w:rsidR="00D515CA" w:rsidRPr="00D515CA">
        <w:rPr>
          <w:rFonts w:ascii="Times New Roman" w:hAnsi="Times New Roman" w:cs="Times New Roman"/>
          <w:sz w:val="24"/>
          <w:szCs w:val="24"/>
        </w:rPr>
        <w:t xml:space="preserve">6.979.036,68 </w:t>
      </w:r>
      <w:r w:rsidRPr="00D515CA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0E14AE" w:rsidRPr="00D515CA" w:rsidRDefault="00D515CA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CA">
        <w:rPr>
          <w:rFonts w:ascii="Times New Roman" w:hAnsi="Times New Roman"/>
          <w:sz w:val="24"/>
          <w:szCs w:val="24"/>
        </w:rPr>
        <w:t xml:space="preserve">Daljnja razrada i preraspodjela ostvarenih viškova i manjkova u tekućoj godini donijeti će se prilikom izrade Godišnjeg izvještaja o izvršenju Proračuna Općine </w:t>
      </w:r>
      <w:proofErr w:type="spellStart"/>
      <w:r w:rsidRPr="00D515CA">
        <w:rPr>
          <w:rFonts w:ascii="Times New Roman" w:hAnsi="Times New Roman"/>
          <w:sz w:val="24"/>
          <w:szCs w:val="24"/>
        </w:rPr>
        <w:t>Privlaka</w:t>
      </w:r>
      <w:proofErr w:type="spellEnd"/>
      <w:r w:rsidRPr="00D515CA">
        <w:rPr>
          <w:rFonts w:ascii="Times New Roman" w:hAnsi="Times New Roman"/>
          <w:sz w:val="24"/>
          <w:szCs w:val="24"/>
        </w:rPr>
        <w:t>.</w:t>
      </w:r>
    </w:p>
    <w:p w:rsidR="00EB02E1" w:rsidRPr="00601DAB" w:rsidRDefault="00EB02E1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02E1" w:rsidRPr="00D17D16" w:rsidRDefault="00EB02E1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>B</w:t>
      </w:r>
      <w:r w:rsidR="002F369D" w:rsidRPr="00D17D16">
        <w:rPr>
          <w:rFonts w:ascii="Times New Roman" w:hAnsi="Times New Roman"/>
          <w:b/>
          <w:sz w:val="24"/>
          <w:szCs w:val="24"/>
          <w:u w:val="single"/>
        </w:rPr>
        <w:t xml:space="preserve">ilješke uz </w:t>
      </w:r>
      <w:r w:rsidR="00F37422" w:rsidRPr="00D17D16">
        <w:rPr>
          <w:rFonts w:ascii="Times New Roman" w:hAnsi="Times New Roman"/>
          <w:b/>
          <w:sz w:val="24"/>
          <w:szCs w:val="24"/>
          <w:u w:val="single"/>
        </w:rPr>
        <w:t>Izvještaj o obvezama (Obrazac: Obveze)</w:t>
      </w:r>
    </w:p>
    <w:p w:rsidR="002F369D" w:rsidRPr="00D17D16" w:rsidRDefault="002F369D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1</w:t>
      </w: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46" w:rsidRPr="00D17D16" w:rsidRDefault="00233046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Početno stanje obveza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V001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 iznosi </w:t>
      </w:r>
      <w:r w:rsidR="00BD6102" w:rsidRPr="00D17D16">
        <w:rPr>
          <w:rFonts w:ascii="Times New Roman" w:eastAsia="Times New Roman" w:hAnsi="Times New Roman"/>
          <w:sz w:val="24"/>
          <w:szCs w:val="24"/>
          <w:lang w:eastAsia="hr-HR"/>
        </w:rPr>
        <w:t>1.848.162,50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kn. U izvještajnom razdoblju nastale su nove obveze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V002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 u iznosu od 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49.568.432,74 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kn, podmireno je ukupno 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39.426.538,68 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kn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V006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), te stanje obveza na kraju izvještajnog razdoblja iznosi 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>11.990.056,66 k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n. </w:t>
      </w:r>
    </w:p>
    <w:p w:rsidR="008C6E1E" w:rsidRPr="00D17D16" w:rsidRDefault="008C6E1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57" w:rsidRPr="00D17D16" w:rsidRDefault="00233046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Bilješka broj 2, </w:t>
      </w:r>
      <w:r w:rsidR="00B36F57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V007 i V009</w:t>
      </w:r>
    </w:p>
    <w:p w:rsidR="00BD6102" w:rsidRPr="00D17D16" w:rsidRDefault="00BD6102" w:rsidP="00D17D16">
      <w:pPr>
        <w:suppressAutoHyphens w:val="0"/>
        <w:autoSpaceDN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17D16">
        <w:rPr>
          <w:rFonts w:ascii="Times New Roman" w:hAnsi="Times New Roman"/>
          <w:sz w:val="24"/>
          <w:szCs w:val="24"/>
        </w:rPr>
        <w:t xml:space="preserve">Dospjele obveze iznose </w:t>
      </w:r>
      <w:r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>270.329,16 kuna, a nedospjele obveze 11.719.727,50 kuna.</w:t>
      </w:r>
    </w:p>
    <w:p w:rsidR="00BD6102" w:rsidRPr="00D17D16" w:rsidRDefault="00BD6102" w:rsidP="00D17D16">
      <w:pPr>
        <w:suppressAutoHyphens w:val="0"/>
        <w:autoSpaceDN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Dospjele obveze odnose se na obveze prema dobavljačima a koje su u prekoračenju od 1-60 dana. Većina obveza </w:t>
      </w:r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prema ispostavljenim fakturama zaprimljena u </w:t>
      </w:r>
      <w:proofErr w:type="spellStart"/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>u</w:t>
      </w:r>
      <w:proofErr w:type="spellEnd"/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općinsku riznici krajem godine te zbog toga nisu ni podmirene. Odnosi se to na obveze za materijalne rashode u iznosu od </w:t>
      </w:r>
      <w:r w:rsidR="00FA482F"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253.847,91 kuna, obveze za nefinancijsku imovinu u iznosu od 15.881,25 kuna te naknade građanima i kućanstvima u iznosu od 600,00 kuna.</w:t>
      </w: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Stanje nedospjelih obveza </w:t>
      </w:r>
      <w:r w:rsidR="002C38F9" w:rsidRPr="00D17D16">
        <w:rPr>
          <w:rFonts w:ascii="Times New Roman" w:hAnsi="Times New Roman"/>
          <w:sz w:val="24"/>
          <w:szCs w:val="24"/>
        </w:rPr>
        <w:t xml:space="preserve">iznosi </w:t>
      </w:r>
      <w:r w:rsidR="00FA482F" w:rsidRPr="00D17D16">
        <w:rPr>
          <w:rFonts w:ascii="Times New Roman" w:hAnsi="Times New Roman"/>
          <w:sz w:val="24"/>
          <w:szCs w:val="24"/>
        </w:rPr>
        <w:t>11.71</w:t>
      </w:r>
      <w:r w:rsidR="006800FA">
        <w:rPr>
          <w:rFonts w:ascii="Times New Roman" w:hAnsi="Times New Roman"/>
          <w:sz w:val="24"/>
          <w:szCs w:val="24"/>
        </w:rPr>
        <w:t>9</w:t>
      </w:r>
      <w:r w:rsidR="00FA482F" w:rsidRPr="00D17D16">
        <w:rPr>
          <w:rFonts w:ascii="Times New Roman" w:hAnsi="Times New Roman"/>
          <w:sz w:val="24"/>
          <w:szCs w:val="24"/>
        </w:rPr>
        <w:t xml:space="preserve">.727,50 </w:t>
      </w:r>
      <w:r w:rsidR="00DC23ED" w:rsidRPr="00D17D16">
        <w:rPr>
          <w:rFonts w:ascii="Times New Roman" w:hAnsi="Times New Roman"/>
          <w:sz w:val="24"/>
          <w:szCs w:val="24"/>
        </w:rPr>
        <w:t xml:space="preserve"> </w:t>
      </w:r>
      <w:r w:rsidR="002C38F9" w:rsidRPr="00D17D16">
        <w:rPr>
          <w:rFonts w:ascii="Times New Roman" w:hAnsi="Times New Roman"/>
          <w:sz w:val="24"/>
          <w:szCs w:val="24"/>
        </w:rPr>
        <w:t xml:space="preserve">kn a </w:t>
      </w:r>
      <w:r w:rsidRPr="00D17D16">
        <w:rPr>
          <w:rFonts w:ascii="Times New Roman" w:hAnsi="Times New Roman"/>
          <w:sz w:val="24"/>
          <w:szCs w:val="24"/>
        </w:rPr>
        <w:t>odnosi se na: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</w:t>
      </w:r>
      <w:r w:rsidR="00C5778F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>obvezu za plaće 12/</w:t>
      </w:r>
      <w:r w:rsidR="00233046" w:rsidRPr="00D17D16">
        <w:rPr>
          <w:rFonts w:ascii="Times New Roman" w:hAnsi="Times New Roman"/>
          <w:sz w:val="24"/>
          <w:szCs w:val="24"/>
        </w:rPr>
        <w:t>2</w:t>
      </w:r>
      <w:r w:rsidR="00DC23ED" w:rsidRPr="00D17D16">
        <w:rPr>
          <w:rFonts w:ascii="Times New Roman" w:hAnsi="Times New Roman"/>
          <w:sz w:val="24"/>
          <w:szCs w:val="24"/>
        </w:rPr>
        <w:t>1</w:t>
      </w:r>
      <w:r w:rsidR="00885439" w:rsidRPr="00D17D16">
        <w:rPr>
          <w:rFonts w:ascii="Times New Roman" w:hAnsi="Times New Roman"/>
          <w:sz w:val="24"/>
          <w:szCs w:val="24"/>
        </w:rPr>
        <w:t xml:space="preserve"> u iznosu od</w:t>
      </w:r>
      <w:r w:rsidR="00C5778F" w:rsidRPr="00D17D16">
        <w:rPr>
          <w:rFonts w:ascii="Times New Roman" w:hAnsi="Times New Roman"/>
          <w:sz w:val="24"/>
          <w:szCs w:val="24"/>
        </w:rPr>
        <w:t xml:space="preserve"> </w:t>
      </w:r>
      <w:r w:rsidR="00FA482F" w:rsidRPr="00D17D16">
        <w:rPr>
          <w:rFonts w:ascii="Times New Roman" w:hAnsi="Times New Roman"/>
          <w:sz w:val="24"/>
          <w:szCs w:val="24"/>
        </w:rPr>
        <w:t>162.555,2</w:t>
      </w:r>
      <w:r w:rsidR="006800FA">
        <w:rPr>
          <w:rFonts w:ascii="Times New Roman" w:hAnsi="Times New Roman"/>
          <w:sz w:val="24"/>
          <w:szCs w:val="24"/>
        </w:rPr>
        <w:t>9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="00FA482F" w:rsidRPr="00D17D16">
        <w:rPr>
          <w:rFonts w:ascii="Times New Roman" w:hAnsi="Times New Roman"/>
          <w:sz w:val="24"/>
          <w:szCs w:val="24"/>
        </w:rPr>
        <w:t>134.976,74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 nedos</w:t>
      </w:r>
      <w:r w:rsidR="00C5778F" w:rsidRPr="00D17D16">
        <w:rPr>
          <w:rFonts w:ascii="Times New Roman" w:hAnsi="Times New Roman"/>
          <w:sz w:val="24"/>
          <w:szCs w:val="24"/>
        </w:rPr>
        <w:t xml:space="preserve">pjele obveze prema dobavljačima </w:t>
      </w:r>
      <w:r w:rsidR="00481F8D" w:rsidRPr="00D17D16">
        <w:rPr>
          <w:rFonts w:ascii="Times New Roman" w:hAnsi="Times New Roman"/>
          <w:sz w:val="24"/>
          <w:szCs w:val="24"/>
        </w:rPr>
        <w:t xml:space="preserve">za materijalne rashode  </w:t>
      </w:r>
      <w:r w:rsidR="002B3A2A" w:rsidRPr="00D17D16">
        <w:rPr>
          <w:rFonts w:ascii="Times New Roman" w:hAnsi="Times New Roman"/>
          <w:sz w:val="24"/>
          <w:szCs w:val="24"/>
        </w:rPr>
        <w:t>280.097,17</w:t>
      </w:r>
      <w:r w:rsidR="00481F8D" w:rsidRPr="00D17D16">
        <w:rPr>
          <w:rFonts w:ascii="Times New Roman" w:hAnsi="Times New Roman"/>
          <w:sz w:val="24"/>
          <w:szCs w:val="24"/>
        </w:rPr>
        <w:t xml:space="preserve"> kn </w:t>
      </w:r>
    </w:p>
    <w:p w:rsidR="004B5724" w:rsidRPr="00D17D16" w:rsidRDefault="004B572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nedospjele obveze prema dobavljačima za nefinancijsku imovinu  </w:t>
      </w:r>
      <w:r w:rsidR="00FA482F" w:rsidRPr="00D17D16">
        <w:rPr>
          <w:rFonts w:ascii="Times New Roman" w:hAnsi="Times New Roman"/>
          <w:sz w:val="24"/>
          <w:szCs w:val="24"/>
        </w:rPr>
        <w:t>14.420,00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C5778F" w:rsidRPr="00D17D16" w:rsidRDefault="00C5778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</w:t>
      </w:r>
      <w:r w:rsidR="00D22EC0" w:rsidRPr="00D17D16">
        <w:rPr>
          <w:rFonts w:ascii="Times New Roman" w:hAnsi="Times New Roman"/>
          <w:sz w:val="24"/>
          <w:szCs w:val="24"/>
        </w:rPr>
        <w:t xml:space="preserve">ostale tekuće obveze </w:t>
      </w:r>
      <w:r w:rsidR="002B3A2A" w:rsidRPr="00D17D16">
        <w:rPr>
          <w:rFonts w:ascii="Times New Roman" w:hAnsi="Times New Roman"/>
          <w:sz w:val="24"/>
          <w:szCs w:val="24"/>
        </w:rPr>
        <w:t>833.524,15</w:t>
      </w:r>
      <w:r w:rsidR="004B5724" w:rsidRPr="00D17D16">
        <w:rPr>
          <w:rFonts w:ascii="Times New Roman" w:hAnsi="Times New Roman"/>
          <w:sz w:val="24"/>
          <w:szCs w:val="24"/>
        </w:rPr>
        <w:t xml:space="preserve"> kn</w:t>
      </w:r>
      <w:r w:rsidR="002B3A2A" w:rsidRPr="00D17D16">
        <w:rPr>
          <w:rFonts w:ascii="Times New Roman" w:hAnsi="Times New Roman"/>
          <w:sz w:val="24"/>
          <w:szCs w:val="24"/>
        </w:rPr>
        <w:t xml:space="preserve">, od čega međuproračunske obveze iznose 2.100,00 kuna, a odnose se na naplaćena a neprenesena sredstva prema korisniku-Dječji vrtić </w:t>
      </w:r>
      <w:proofErr w:type="spellStart"/>
      <w:r w:rsidR="002B3A2A" w:rsidRPr="00D17D16">
        <w:rPr>
          <w:rFonts w:ascii="Times New Roman" w:hAnsi="Times New Roman"/>
          <w:sz w:val="24"/>
          <w:szCs w:val="24"/>
        </w:rPr>
        <w:t>Sabunić</w:t>
      </w:r>
      <w:proofErr w:type="spellEnd"/>
      <w:r w:rsidR="002B3A2A" w:rsidRPr="00D17D16">
        <w:rPr>
          <w:rFonts w:ascii="Times New Roman" w:hAnsi="Times New Roman"/>
          <w:sz w:val="24"/>
          <w:szCs w:val="24"/>
        </w:rPr>
        <w:t>.</w:t>
      </w:r>
    </w:p>
    <w:p w:rsidR="004B5724" w:rsidRPr="00D17D16" w:rsidRDefault="004B572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obveze za kredite i zajmove </w:t>
      </w:r>
      <w:r w:rsidR="00FA482F" w:rsidRPr="00D17D16">
        <w:rPr>
          <w:rFonts w:ascii="Times New Roman" w:hAnsi="Times New Roman"/>
          <w:sz w:val="24"/>
          <w:szCs w:val="24"/>
        </w:rPr>
        <w:t>10.294.154,15</w:t>
      </w:r>
      <w:r w:rsidRPr="00D17D16">
        <w:rPr>
          <w:rFonts w:ascii="Times New Roman" w:hAnsi="Times New Roman"/>
          <w:sz w:val="24"/>
          <w:szCs w:val="24"/>
        </w:rPr>
        <w:t xml:space="preserve"> kn.</w:t>
      </w:r>
      <w:r w:rsidR="00D17D16" w:rsidRPr="00D17D16">
        <w:rPr>
          <w:rFonts w:ascii="Times New Roman" w:hAnsi="Times New Roman"/>
          <w:sz w:val="24"/>
          <w:szCs w:val="24"/>
        </w:rPr>
        <w:t xml:space="preserve"> Ove obveze predstavljaju o</w:t>
      </w:r>
      <w:r w:rsidR="00FA482F" w:rsidRPr="00D17D16">
        <w:rPr>
          <w:rFonts w:ascii="Times New Roman" w:hAnsi="Times New Roman"/>
          <w:sz w:val="24"/>
          <w:szCs w:val="24"/>
        </w:rPr>
        <w:t>bveze po iskorištenom kreditu kod ZABA d.d. u iznosu od 10.293.710,84 kuna, te zajmove prema državnom proračunu s osnove povrata poreza i prireza na dohodak za 2021.godinu u iznosu od 443,31 kuna.</w:t>
      </w:r>
    </w:p>
    <w:p w:rsidR="00233046" w:rsidRPr="00D17D16" w:rsidRDefault="00233046" w:rsidP="00D17D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Pr="00D17D16" w:rsidRDefault="000F1266" w:rsidP="00D17D1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 xml:space="preserve">Bilješke uz Izvještaj o </w:t>
      </w:r>
      <w:r w:rsidR="00D22EC0" w:rsidRPr="00D17D16">
        <w:rPr>
          <w:rFonts w:ascii="Times New Roman" w:hAnsi="Times New Roman"/>
          <w:b/>
          <w:sz w:val="24"/>
          <w:szCs w:val="24"/>
          <w:u w:val="single"/>
        </w:rPr>
        <w:t>promjenama u vrijednosti i obujmu imovine i obveza (Obrazac: P-VRIO)</w:t>
      </w:r>
    </w:p>
    <w:p w:rsidR="00263927" w:rsidRPr="00D17D16" w:rsidRDefault="00263927" w:rsidP="00D17D1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D16" w:rsidRPr="00D17D16" w:rsidRDefault="009B208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hAnsi="Times New Roman"/>
          <w:b/>
          <w:sz w:val="24"/>
          <w:szCs w:val="24"/>
        </w:rPr>
        <w:lastRenderedPageBreak/>
        <w:t xml:space="preserve">Bilješka broj 1, </w:t>
      </w:r>
      <w:r w:rsidR="00D17D16" w:rsidRPr="00D17D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P003 smanjenje iznosi </w:t>
      </w:r>
      <w:r w:rsidR="00D17D16"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9.712,09 kuna, a odnosi se na rashodovanu imovinu temeljem godišnjeg popisa –</w:t>
      </w:r>
      <w:r w:rsidR="00E97F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inventure za 2022.godinu.</w:t>
      </w:r>
    </w:p>
    <w:p w:rsidR="00D17D16" w:rsidRDefault="00D17D1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E97F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017-povećanje iznosi 60.000,00 kuna dok na istoj šifri u koloni smanjenje iznosi 370.425 kuna.</w:t>
      </w:r>
    </w:p>
    <w:p w:rsidR="00E97F43" w:rsidRPr="00D17D16" w:rsidRDefault="00E97F4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 šifrom P048-povećanje evidentiran je iznos od 19.130,30 kuna. Ove promjene temelje se na Odluci načelnika o rezultatima  popisa imovine i obveza obavljenog sa stanjem na dan 31.12.2021. godine u Klasi:406-08/21-01/01; URBROJ:2198/28-02-22-4 od 25.siječnja 2022.godine. Ove promjene nisu se  </w:t>
      </w:r>
      <w:r w:rsidR="00676A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rovele u bilanci stanja za 2021. godinu nego  tijekom 2022. godine.</w:t>
      </w:r>
    </w:p>
    <w:p w:rsidR="00263927" w:rsidRPr="00D17D16" w:rsidRDefault="00263927" w:rsidP="00D17D16">
      <w:pPr>
        <w:jc w:val="both"/>
        <w:rPr>
          <w:rFonts w:ascii="Times New Roman" w:hAnsi="Times New Roman"/>
          <w:sz w:val="24"/>
          <w:szCs w:val="24"/>
        </w:rPr>
      </w:pPr>
    </w:p>
    <w:p w:rsidR="00DE5927" w:rsidRPr="00D17D16" w:rsidRDefault="008D70BD" w:rsidP="00D17D1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>Bilješke uz Izvještaj o rashodima prema funkcijskoj klasifikaciji (Obrazac: RAS-funkcijski)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1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7" w:rsidRPr="00D17D16" w:rsidRDefault="00DE5927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Funkcijska klasifikacija sadrži rashode razvrstane prema njihovoj namjeni. Podaci iz izvještaja o rashodima prema funkcijskoj klasifikaciji daju informaciju o potrošnji za svaku od 9 propisanih funkcija. U obrazac se unose samo rashodi poslovanja (račun 3) i rashodi za nabavu nefinancijske imovine (račun 4), dok se izdaci za financijsku imovinu (račun 5) i rashodi za prijenos proračunskim korisnicima (račun 367) ne iskazuju u ovom izvještaju. 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7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2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0BD" w:rsidRPr="006C1B9C" w:rsidRDefault="008D70BD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9C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6C1B9C">
        <w:rPr>
          <w:rFonts w:ascii="Times New Roman" w:hAnsi="Times New Roman"/>
          <w:sz w:val="24"/>
          <w:szCs w:val="24"/>
        </w:rPr>
        <w:t>Privlaka</w:t>
      </w:r>
      <w:proofErr w:type="spellEnd"/>
      <w:r w:rsidRPr="006C1B9C">
        <w:rPr>
          <w:rFonts w:ascii="Times New Roman" w:hAnsi="Times New Roman"/>
          <w:sz w:val="24"/>
          <w:szCs w:val="24"/>
        </w:rPr>
        <w:t xml:space="preserve"> je ostvarila rashode prema funkcijskoj klasifikaciji kroz:</w:t>
      </w:r>
    </w:p>
    <w:p w:rsidR="00AE2500" w:rsidRDefault="00AE2500" w:rsidP="00E97F43">
      <w:pPr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</w:p>
    <w:p w:rsidR="008D70BD" w:rsidRPr="006C1B9C" w:rsidRDefault="006C1B9C" w:rsidP="00E97F43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bookmarkStart w:id="0" w:name="_GoBack"/>
      <w:bookmarkEnd w:id="0"/>
      <w:r w:rsidRPr="006C1B9C">
        <w:rPr>
          <w:rFonts w:ascii="Times New Roman" w:hAnsi="Times New Roman"/>
          <w:sz w:val="24"/>
          <w:szCs w:val="24"/>
        </w:rPr>
        <w:t>-</w:t>
      </w:r>
      <w:r w:rsidR="008D70BD" w:rsidRPr="006C1B9C">
        <w:rPr>
          <w:rFonts w:ascii="Times New Roman" w:hAnsi="Times New Roman"/>
          <w:sz w:val="24"/>
          <w:szCs w:val="24"/>
        </w:rPr>
        <w:t>opće javne usluge (</w:t>
      </w:r>
      <w:r w:rsidR="00E97F43" w:rsidRPr="006C1B9C">
        <w:rPr>
          <w:rFonts w:ascii="Times New Roman" w:hAnsi="Times New Roman"/>
          <w:sz w:val="24"/>
          <w:szCs w:val="24"/>
        </w:rPr>
        <w:t xml:space="preserve">šifra </w:t>
      </w:r>
      <w:r w:rsidRPr="006C1B9C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0</w:t>
      </w:r>
      <w:r w:rsidR="00E97F43" w:rsidRPr="006C1B9C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1</w:t>
      </w:r>
      <w:r w:rsidR="00E97F43"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6.289.670,83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</w:p>
    <w:p w:rsidR="008D70BD" w:rsidRPr="006C1B9C" w:rsidRDefault="006C1B9C" w:rsidP="00E97F43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8D70BD" w:rsidRPr="006C1B9C">
        <w:rPr>
          <w:rFonts w:ascii="Times New Roman" w:hAnsi="Times New Roman"/>
          <w:sz w:val="24"/>
          <w:szCs w:val="24"/>
        </w:rPr>
        <w:t>javni red i sigurnost (</w:t>
      </w:r>
      <w:r w:rsidR="00E97F43" w:rsidRPr="006C1B9C">
        <w:rPr>
          <w:rFonts w:ascii="Times New Roman" w:hAnsi="Times New Roman"/>
          <w:sz w:val="24"/>
          <w:szCs w:val="24"/>
        </w:rPr>
        <w:t xml:space="preserve">šifra 03 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od </w:t>
      </w:r>
      <w:r w:rsidR="00E97F43"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364.206,35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</w:p>
    <w:p w:rsidR="008D70BD" w:rsidRPr="006C1B9C" w:rsidRDefault="006C1B9C" w:rsidP="006C1B9C">
      <w:pPr>
        <w:rPr>
          <w:rFonts w:ascii="Times New Roman" w:hAnsi="Times New Roman"/>
          <w:b/>
          <w:bCs/>
          <w:sz w:val="24"/>
          <w:szCs w:val="24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8D70BD" w:rsidRPr="006C1B9C">
        <w:rPr>
          <w:rFonts w:ascii="Times New Roman" w:hAnsi="Times New Roman"/>
          <w:sz w:val="24"/>
          <w:szCs w:val="24"/>
        </w:rPr>
        <w:t>ekonomski poslovi (</w:t>
      </w:r>
      <w:r w:rsidR="00E97F43" w:rsidRPr="006C1B9C">
        <w:rPr>
          <w:rFonts w:ascii="Times New Roman" w:hAnsi="Times New Roman"/>
          <w:sz w:val="24"/>
          <w:szCs w:val="24"/>
        </w:rPr>
        <w:t>šifra 04</w:t>
      </w:r>
      <w:r w:rsidR="008D70BD" w:rsidRPr="006C1B9C">
        <w:rPr>
          <w:rFonts w:ascii="Times New Roman" w:hAnsi="Times New Roman"/>
          <w:sz w:val="24"/>
          <w:szCs w:val="24"/>
        </w:rPr>
        <w:t>) u iznosu od</w:t>
      </w:r>
      <w:r w:rsidR="00D554E2" w:rsidRPr="006C1B9C">
        <w:rPr>
          <w:rFonts w:ascii="Times New Roman" w:hAnsi="Times New Roman"/>
          <w:sz w:val="24"/>
          <w:szCs w:val="24"/>
        </w:rPr>
        <w:t xml:space="preserve"> </w:t>
      </w:r>
      <w:r w:rsidR="00E97F43" w:rsidRPr="006C1B9C">
        <w:rPr>
          <w:rFonts w:ascii="Times New Roman" w:hAnsi="Times New Roman"/>
          <w:b/>
          <w:bCs/>
          <w:sz w:val="24"/>
          <w:szCs w:val="24"/>
        </w:rPr>
        <w:t>3.315.946,47</w:t>
      </w:r>
      <w:r w:rsidRPr="006C1B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</w:p>
    <w:p w:rsidR="006C1B9C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7E44E3" w:rsidRPr="006C1B9C">
        <w:rPr>
          <w:rFonts w:ascii="Times New Roman" w:hAnsi="Times New Roman"/>
          <w:sz w:val="24"/>
          <w:szCs w:val="24"/>
        </w:rPr>
        <w:t>zaštita okoliša</w:t>
      </w:r>
      <w:r w:rsidR="008D70BD" w:rsidRPr="006C1B9C">
        <w:rPr>
          <w:rFonts w:ascii="Times New Roman" w:hAnsi="Times New Roman"/>
          <w:sz w:val="24"/>
          <w:szCs w:val="24"/>
        </w:rPr>
        <w:t xml:space="preserve"> (</w:t>
      </w:r>
      <w:r w:rsidRPr="006C1B9C">
        <w:rPr>
          <w:rFonts w:ascii="Times New Roman" w:hAnsi="Times New Roman"/>
          <w:sz w:val="24"/>
          <w:szCs w:val="24"/>
        </w:rPr>
        <w:t>šifra 05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>3.482.645,03 kn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usluge unapređenja stanovanja i zajednice (</w:t>
      </w:r>
      <w:r w:rsidRPr="006C1B9C">
        <w:rPr>
          <w:rFonts w:ascii="Times New Roman" w:hAnsi="Times New Roman"/>
          <w:sz w:val="24"/>
          <w:szCs w:val="24"/>
        </w:rPr>
        <w:t>šifra 06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7.691.659,84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zdravstvo (</w:t>
      </w:r>
      <w:r w:rsidRPr="006C1B9C">
        <w:rPr>
          <w:rFonts w:ascii="Times New Roman" w:hAnsi="Times New Roman"/>
          <w:sz w:val="24"/>
          <w:szCs w:val="24"/>
        </w:rPr>
        <w:t>šifra 07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30.296,88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rekreacija, kultura i religija (</w:t>
      </w:r>
      <w:r w:rsidRPr="006C1B9C">
        <w:rPr>
          <w:rFonts w:ascii="Times New Roman" w:hAnsi="Times New Roman"/>
          <w:sz w:val="24"/>
          <w:szCs w:val="24"/>
        </w:rPr>
        <w:t>šifra 08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592.424,29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  - </w:t>
      </w:r>
      <w:r w:rsidR="007E44E3" w:rsidRPr="006C1B9C">
        <w:rPr>
          <w:rFonts w:ascii="Times New Roman" w:hAnsi="Times New Roman"/>
          <w:sz w:val="24"/>
          <w:szCs w:val="24"/>
        </w:rPr>
        <w:t>obrazovanje (</w:t>
      </w:r>
      <w:r w:rsidRPr="006C1B9C">
        <w:rPr>
          <w:rFonts w:ascii="Times New Roman" w:hAnsi="Times New Roman"/>
          <w:sz w:val="24"/>
          <w:szCs w:val="24"/>
        </w:rPr>
        <w:t xml:space="preserve">šifra 09 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13.643.059,33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0F1266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    -</w:t>
      </w:r>
      <w:r w:rsidR="007E44E3" w:rsidRPr="006C1B9C">
        <w:rPr>
          <w:rFonts w:ascii="Times New Roman" w:hAnsi="Times New Roman"/>
          <w:sz w:val="24"/>
          <w:szCs w:val="24"/>
        </w:rPr>
        <w:t>socijalna zaštita (</w:t>
      </w:r>
      <w:r w:rsidRPr="006C1B9C">
        <w:rPr>
          <w:rFonts w:ascii="Times New Roman" w:hAnsi="Times New Roman"/>
          <w:sz w:val="24"/>
          <w:szCs w:val="24"/>
        </w:rPr>
        <w:t xml:space="preserve">šifra 10 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337.318,99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Osoba za kontaktiranje:</w:t>
      </w:r>
    </w:p>
    <w:p w:rsidR="00EB02E1" w:rsidRPr="00D17D16" w:rsidRDefault="007E44E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 w:rsidRPr="00D17D16">
        <w:rPr>
          <w:rFonts w:ascii="Times New Roman" w:hAnsi="Times New Roman"/>
          <w:sz w:val="24"/>
          <w:szCs w:val="24"/>
        </w:rPr>
        <w:t>Šango</w:t>
      </w:r>
      <w:proofErr w:type="spellEnd"/>
      <w:r w:rsidRPr="00D17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D16">
        <w:rPr>
          <w:rFonts w:ascii="Times New Roman" w:hAnsi="Times New Roman"/>
          <w:sz w:val="24"/>
          <w:szCs w:val="24"/>
        </w:rPr>
        <w:t>struč.spec.oec</w:t>
      </w:r>
      <w:proofErr w:type="spellEnd"/>
    </w:p>
    <w:p w:rsidR="007E44E3" w:rsidRPr="00D17D16" w:rsidRDefault="007E44E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Telefon: 023 366 628</w:t>
      </w:r>
    </w:p>
    <w:p w:rsidR="007541E3" w:rsidRPr="00D17D16" w:rsidRDefault="007541E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  <w:t xml:space="preserve"> </w:t>
      </w:r>
      <w:r w:rsidRPr="00D17D16">
        <w:rPr>
          <w:rFonts w:ascii="Times New Roman" w:hAnsi="Times New Roman"/>
          <w:sz w:val="24"/>
          <w:szCs w:val="24"/>
        </w:rPr>
        <w:t>Zakonski predstavnik: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8832B0" w:rsidRPr="00D17D16">
        <w:rPr>
          <w:rFonts w:ascii="Times New Roman" w:hAnsi="Times New Roman"/>
          <w:sz w:val="24"/>
          <w:szCs w:val="24"/>
        </w:rPr>
        <w:t>Gašpar</w:t>
      </w:r>
      <w:r w:rsidRPr="00D17D16">
        <w:rPr>
          <w:rFonts w:ascii="Times New Roman" w:hAnsi="Times New Roman"/>
          <w:sz w:val="24"/>
          <w:szCs w:val="24"/>
        </w:rPr>
        <w:t xml:space="preserve"> Begonja, dipl. </w:t>
      </w:r>
      <w:r w:rsidR="008832B0" w:rsidRPr="00D17D16">
        <w:rPr>
          <w:rFonts w:ascii="Times New Roman" w:hAnsi="Times New Roman"/>
          <w:sz w:val="24"/>
          <w:szCs w:val="24"/>
        </w:rPr>
        <w:t>ing</w:t>
      </w:r>
      <w:r w:rsidRPr="00D17D16">
        <w:rPr>
          <w:rFonts w:ascii="Times New Roman" w:hAnsi="Times New Roman"/>
          <w:sz w:val="24"/>
          <w:szCs w:val="24"/>
        </w:rPr>
        <w:t>.</w:t>
      </w:r>
    </w:p>
    <w:p w:rsidR="00E668F3" w:rsidRPr="00D17D16" w:rsidRDefault="00E668F3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68F3" w:rsidRPr="00D17D16" w:rsidRDefault="00E668F3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813" w:rsidRPr="00D17D16" w:rsidRDefault="00EB02E1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D1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17D16">
        <w:rPr>
          <w:rFonts w:ascii="Times New Roman" w:hAnsi="Times New Roman" w:cs="Times New Roman"/>
          <w:sz w:val="24"/>
          <w:szCs w:val="24"/>
        </w:rPr>
        <w:t xml:space="preserve">, </w:t>
      </w:r>
      <w:r w:rsidR="00425EA1">
        <w:rPr>
          <w:rFonts w:ascii="Times New Roman" w:hAnsi="Times New Roman" w:cs="Times New Roman"/>
          <w:sz w:val="24"/>
          <w:szCs w:val="24"/>
        </w:rPr>
        <w:t>15</w:t>
      </w:r>
      <w:r w:rsidRPr="00D17D16">
        <w:rPr>
          <w:rFonts w:ascii="Times New Roman" w:hAnsi="Times New Roman" w:cs="Times New Roman"/>
          <w:sz w:val="24"/>
          <w:szCs w:val="24"/>
        </w:rPr>
        <w:t>. veljače 20</w:t>
      </w:r>
      <w:r w:rsidR="00E06837" w:rsidRPr="00D17D16">
        <w:rPr>
          <w:rFonts w:ascii="Times New Roman" w:hAnsi="Times New Roman" w:cs="Times New Roman"/>
          <w:sz w:val="24"/>
          <w:szCs w:val="24"/>
        </w:rPr>
        <w:t>2</w:t>
      </w:r>
      <w:r w:rsidR="00425EA1">
        <w:rPr>
          <w:rFonts w:ascii="Times New Roman" w:hAnsi="Times New Roman" w:cs="Times New Roman"/>
          <w:sz w:val="24"/>
          <w:szCs w:val="24"/>
        </w:rPr>
        <w:t>3</w:t>
      </w:r>
      <w:r w:rsidR="007E44E3" w:rsidRPr="00D17D16">
        <w:rPr>
          <w:rFonts w:ascii="Times New Roman" w:hAnsi="Times New Roman" w:cs="Times New Roman"/>
          <w:sz w:val="24"/>
          <w:szCs w:val="24"/>
        </w:rPr>
        <w:t>. godine</w:t>
      </w:r>
    </w:p>
    <w:sectPr w:rsidR="005B0813" w:rsidRPr="00D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7AA"/>
    <w:multiLevelType w:val="hybridMultilevel"/>
    <w:tmpl w:val="12CEADB0"/>
    <w:lvl w:ilvl="0" w:tplc="FE36E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7" w15:restartNumberingAfterBreak="0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739A"/>
    <w:multiLevelType w:val="multilevel"/>
    <w:tmpl w:val="698EDC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E1"/>
    <w:rsid w:val="000003BF"/>
    <w:rsid w:val="0000094A"/>
    <w:rsid w:val="00004349"/>
    <w:rsid w:val="00007649"/>
    <w:rsid w:val="00007D3F"/>
    <w:rsid w:val="000161A9"/>
    <w:rsid w:val="00020381"/>
    <w:rsid w:val="000341D0"/>
    <w:rsid w:val="00041A65"/>
    <w:rsid w:val="000542DD"/>
    <w:rsid w:val="00067C75"/>
    <w:rsid w:val="00083299"/>
    <w:rsid w:val="00086D4E"/>
    <w:rsid w:val="000879CB"/>
    <w:rsid w:val="00090DA8"/>
    <w:rsid w:val="000920B6"/>
    <w:rsid w:val="00092596"/>
    <w:rsid w:val="00094776"/>
    <w:rsid w:val="000A02D1"/>
    <w:rsid w:val="000C052C"/>
    <w:rsid w:val="000C7CDD"/>
    <w:rsid w:val="000C7DDD"/>
    <w:rsid w:val="000D26DC"/>
    <w:rsid w:val="000E14AE"/>
    <w:rsid w:val="000E5D16"/>
    <w:rsid w:val="000F1266"/>
    <w:rsid w:val="000F2B88"/>
    <w:rsid w:val="000F5FE0"/>
    <w:rsid w:val="000F633E"/>
    <w:rsid w:val="000F6F57"/>
    <w:rsid w:val="00103805"/>
    <w:rsid w:val="00110E7E"/>
    <w:rsid w:val="001129BA"/>
    <w:rsid w:val="00122C9C"/>
    <w:rsid w:val="00122DE3"/>
    <w:rsid w:val="00127AA9"/>
    <w:rsid w:val="0013228D"/>
    <w:rsid w:val="00137F13"/>
    <w:rsid w:val="00141F8B"/>
    <w:rsid w:val="00144E5A"/>
    <w:rsid w:val="00166CCB"/>
    <w:rsid w:val="00175356"/>
    <w:rsid w:val="0017777A"/>
    <w:rsid w:val="00184727"/>
    <w:rsid w:val="00196AC7"/>
    <w:rsid w:val="001A0186"/>
    <w:rsid w:val="001A2E2C"/>
    <w:rsid w:val="001A7E50"/>
    <w:rsid w:val="001B0C47"/>
    <w:rsid w:val="001B1C52"/>
    <w:rsid w:val="001C4EAF"/>
    <w:rsid w:val="001C72BE"/>
    <w:rsid w:val="001D04FD"/>
    <w:rsid w:val="001F27B0"/>
    <w:rsid w:val="002178C7"/>
    <w:rsid w:val="00233046"/>
    <w:rsid w:val="00233C0F"/>
    <w:rsid w:val="002411AD"/>
    <w:rsid w:val="0024198B"/>
    <w:rsid w:val="00261E3C"/>
    <w:rsid w:val="00263927"/>
    <w:rsid w:val="00275FAF"/>
    <w:rsid w:val="0028270C"/>
    <w:rsid w:val="00287282"/>
    <w:rsid w:val="002909E7"/>
    <w:rsid w:val="00290A70"/>
    <w:rsid w:val="002958A8"/>
    <w:rsid w:val="002B2152"/>
    <w:rsid w:val="002B3A2A"/>
    <w:rsid w:val="002B5D8C"/>
    <w:rsid w:val="002C38F9"/>
    <w:rsid w:val="002D102E"/>
    <w:rsid w:val="002D1D66"/>
    <w:rsid w:val="002E3AC9"/>
    <w:rsid w:val="002E5511"/>
    <w:rsid w:val="002E680E"/>
    <w:rsid w:val="002F369D"/>
    <w:rsid w:val="00302628"/>
    <w:rsid w:val="003034A1"/>
    <w:rsid w:val="0031072E"/>
    <w:rsid w:val="0032642F"/>
    <w:rsid w:val="00326B28"/>
    <w:rsid w:val="00330581"/>
    <w:rsid w:val="00346B8A"/>
    <w:rsid w:val="00355ABE"/>
    <w:rsid w:val="003663CC"/>
    <w:rsid w:val="0037039E"/>
    <w:rsid w:val="00372955"/>
    <w:rsid w:val="0037644C"/>
    <w:rsid w:val="00383191"/>
    <w:rsid w:val="00383987"/>
    <w:rsid w:val="003A2413"/>
    <w:rsid w:val="003B3438"/>
    <w:rsid w:val="003B3520"/>
    <w:rsid w:val="003B61EA"/>
    <w:rsid w:val="003C6FE1"/>
    <w:rsid w:val="003E294E"/>
    <w:rsid w:val="003E5ADD"/>
    <w:rsid w:val="003F5451"/>
    <w:rsid w:val="00406E85"/>
    <w:rsid w:val="00417582"/>
    <w:rsid w:val="004210E7"/>
    <w:rsid w:val="00421811"/>
    <w:rsid w:val="00425EA1"/>
    <w:rsid w:val="00426C9A"/>
    <w:rsid w:val="00426E3B"/>
    <w:rsid w:val="00430813"/>
    <w:rsid w:val="00430A89"/>
    <w:rsid w:val="00433F4D"/>
    <w:rsid w:val="00473FBF"/>
    <w:rsid w:val="0047429B"/>
    <w:rsid w:val="00481F8D"/>
    <w:rsid w:val="0048615F"/>
    <w:rsid w:val="00487B79"/>
    <w:rsid w:val="004A2830"/>
    <w:rsid w:val="004A627D"/>
    <w:rsid w:val="004B5724"/>
    <w:rsid w:val="004C2CE5"/>
    <w:rsid w:val="004D0A0B"/>
    <w:rsid w:val="004D432C"/>
    <w:rsid w:val="0050199C"/>
    <w:rsid w:val="00502E34"/>
    <w:rsid w:val="005255D9"/>
    <w:rsid w:val="005304D3"/>
    <w:rsid w:val="005431C1"/>
    <w:rsid w:val="00547618"/>
    <w:rsid w:val="00565F53"/>
    <w:rsid w:val="00575823"/>
    <w:rsid w:val="0058144F"/>
    <w:rsid w:val="0058444F"/>
    <w:rsid w:val="00586E5C"/>
    <w:rsid w:val="005875B7"/>
    <w:rsid w:val="005960B8"/>
    <w:rsid w:val="005A2395"/>
    <w:rsid w:val="005B0813"/>
    <w:rsid w:val="005B161C"/>
    <w:rsid w:val="005B2804"/>
    <w:rsid w:val="005C540A"/>
    <w:rsid w:val="005D2298"/>
    <w:rsid w:val="005D3346"/>
    <w:rsid w:val="005E3CFC"/>
    <w:rsid w:val="005F09EC"/>
    <w:rsid w:val="005F0B32"/>
    <w:rsid w:val="006014AA"/>
    <w:rsid w:val="00601DAB"/>
    <w:rsid w:val="00606195"/>
    <w:rsid w:val="00620208"/>
    <w:rsid w:val="00624A0C"/>
    <w:rsid w:val="006261B6"/>
    <w:rsid w:val="00627A3F"/>
    <w:rsid w:val="00636B4C"/>
    <w:rsid w:val="006416AA"/>
    <w:rsid w:val="00642FB1"/>
    <w:rsid w:val="006468C1"/>
    <w:rsid w:val="006475B7"/>
    <w:rsid w:val="00653FD1"/>
    <w:rsid w:val="00654CC2"/>
    <w:rsid w:val="00664E3F"/>
    <w:rsid w:val="0066666E"/>
    <w:rsid w:val="00667DE0"/>
    <w:rsid w:val="00675FCC"/>
    <w:rsid w:val="00676AC7"/>
    <w:rsid w:val="006800FA"/>
    <w:rsid w:val="00685325"/>
    <w:rsid w:val="006A3F88"/>
    <w:rsid w:val="006B0AAB"/>
    <w:rsid w:val="006B6170"/>
    <w:rsid w:val="006C1B9C"/>
    <w:rsid w:val="006C2437"/>
    <w:rsid w:val="006C4747"/>
    <w:rsid w:val="006D5C03"/>
    <w:rsid w:val="006E3D06"/>
    <w:rsid w:val="006F528E"/>
    <w:rsid w:val="006F55B7"/>
    <w:rsid w:val="00702721"/>
    <w:rsid w:val="00703EE2"/>
    <w:rsid w:val="00710F10"/>
    <w:rsid w:val="00722FAD"/>
    <w:rsid w:val="007265BD"/>
    <w:rsid w:val="00727005"/>
    <w:rsid w:val="00730028"/>
    <w:rsid w:val="007340EC"/>
    <w:rsid w:val="007478E0"/>
    <w:rsid w:val="007541E3"/>
    <w:rsid w:val="00761F45"/>
    <w:rsid w:val="007656D1"/>
    <w:rsid w:val="007772ED"/>
    <w:rsid w:val="00777738"/>
    <w:rsid w:val="007851A4"/>
    <w:rsid w:val="00786DBC"/>
    <w:rsid w:val="00790FBC"/>
    <w:rsid w:val="007C5FB3"/>
    <w:rsid w:val="007E31A4"/>
    <w:rsid w:val="007E44E3"/>
    <w:rsid w:val="007F02BF"/>
    <w:rsid w:val="007F5494"/>
    <w:rsid w:val="008054B6"/>
    <w:rsid w:val="00814CC4"/>
    <w:rsid w:val="008164F0"/>
    <w:rsid w:val="008333FF"/>
    <w:rsid w:val="00844D19"/>
    <w:rsid w:val="00864B45"/>
    <w:rsid w:val="00874192"/>
    <w:rsid w:val="008749B6"/>
    <w:rsid w:val="008832B0"/>
    <w:rsid w:val="00884FFC"/>
    <w:rsid w:val="00885439"/>
    <w:rsid w:val="008916D7"/>
    <w:rsid w:val="008945F7"/>
    <w:rsid w:val="00895744"/>
    <w:rsid w:val="008A00F6"/>
    <w:rsid w:val="008A3440"/>
    <w:rsid w:val="008A3920"/>
    <w:rsid w:val="008B03C0"/>
    <w:rsid w:val="008B4661"/>
    <w:rsid w:val="008C4DE2"/>
    <w:rsid w:val="008C6E1E"/>
    <w:rsid w:val="008D70BD"/>
    <w:rsid w:val="008E0022"/>
    <w:rsid w:val="008E0955"/>
    <w:rsid w:val="008E637D"/>
    <w:rsid w:val="008E6CA5"/>
    <w:rsid w:val="008F0FCA"/>
    <w:rsid w:val="009026E6"/>
    <w:rsid w:val="00912629"/>
    <w:rsid w:val="00933007"/>
    <w:rsid w:val="009365C3"/>
    <w:rsid w:val="00940713"/>
    <w:rsid w:val="00942561"/>
    <w:rsid w:val="00943567"/>
    <w:rsid w:val="009523EA"/>
    <w:rsid w:val="009555E2"/>
    <w:rsid w:val="00955CA2"/>
    <w:rsid w:val="00965370"/>
    <w:rsid w:val="0096609D"/>
    <w:rsid w:val="009674DB"/>
    <w:rsid w:val="0097282B"/>
    <w:rsid w:val="00974E26"/>
    <w:rsid w:val="0099756E"/>
    <w:rsid w:val="009B2081"/>
    <w:rsid w:val="009B7602"/>
    <w:rsid w:val="009D1EC0"/>
    <w:rsid w:val="009D245D"/>
    <w:rsid w:val="009D24F2"/>
    <w:rsid w:val="009D6E9B"/>
    <w:rsid w:val="009D6FE7"/>
    <w:rsid w:val="009F1E0E"/>
    <w:rsid w:val="00A0032C"/>
    <w:rsid w:val="00A070CD"/>
    <w:rsid w:val="00A17D85"/>
    <w:rsid w:val="00A50541"/>
    <w:rsid w:val="00A5073F"/>
    <w:rsid w:val="00A512C6"/>
    <w:rsid w:val="00A55922"/>
    <w:rsid w:val="00A60DD5"/>
    <w:rsid w:val="00A73AFF"/>
    <w:rsid w:val="00A8780F"/>
    <w:rsid w:val="00A90041"/>
    <w:rsid w:val="00A96A59"/>
    <w:rsid w:val="00AA0CBA"/>
    <w:rsid w:val="00AA2712"/>
    <w:rsid w:val="00AA3123"/>
    <w:rsid w:val="00AA3F2B"/>
    <w:rsid w:val="00AA7C80"/>
    <w:rsid w:val="00AB0CF5"/>
    <w:rsid w:val="00AB2A77"/>
    <w:rsid w:val="00AB3B6F"/>
    <w:rsid w:val="00AC2F13"/>
    <w:rsid w:val="00AD2692"/>
    <w:rsid w:val="00AD7591"/>
    <w:rsid w:val="00AD7609"/>
    <w:rsid w:val="00AE090B"/>
    <w:rsid w:val="00AE2500"/>
    <w:rsid w:val="00AE4296"/>
    <w:rsid w:val="00AE5A3E"/>
    <w:rsid w:val="00B123A3"/>
    <w:rsid w:val="00B13164"/>
    <w:rsid w:val="00B36F57"/>
    <w:rsid w:val="00B41AF8"/>
    <w:rsid w:val="00B5607D"/>
    <w:rsid w:val="00B614BE"/>
    <w:rsid w:val="00B61D44"/>
    <w:rsid w:val="00B85BE1"/>
    <w:rsid w:val="00B9100E"/>
    <w:rsid w:val="00BA0ABE"/>
    <w:rsid w:val="00BB4846"/>
    <w:rsid w:val="00BC1F9E"/>
    <w:rsid w:val="00BD6102"/>
    <w:rsid w:val="00BF66EC"/>
    <w:rsid w:val="00C00B50"/>
    <w:rsid w:val="00C02C7E"/>
    <w:rsid w:val="00C32D38"/>
    <w:rsid w:val="00C5778F"/>
    <w:rsid w:val="00C63D61"/>
    <w:rsid w:val="00C80789"/>
    <w:rsid w:val="00C861AC"/>
    <w:rsid w:val="00C9640C"/>
    <w:rsid w:val="00C96DBA"/>
    <w:rsid w:val="00CE190C"/>
    <w:rsid w:val="00CE3FC2"/>
    <w:rsid w:val="00CF4B42"/>
    <w:rsid w:val="00D016E7"/>
    <w:rsid w:val="00D032B1"/>
    <w:rsid w:val="00D05352"/>
    <w:rsid w:val="00D0610A"/>
    <w:rsid w:val="00D06114"/>
    <w:rsid w:val="00D11196"/>
    <w:rsid w:val="00D154F1"/>
    <w:rsid w:val="00D17D16"/>
    <w:rsid w:val="00D22EC0"/>
    <w:rsid w:val="00D37E20"/>
    <w:rsid w:val="00D42D87"/>
    <w:rsid w:val="00D44CBA"/>
    <w:rsid w:val="00D515CA"/>
    <w:rsid w:val="00D51DE5"/>
    <w:rsid w:val="00D554E2"/>
    <w:rsid w:val="00D55B09"/>
    <w:rsid w:val="00DA313A"/>
    <w:rsid w:val="00DA3DD0"/>
    <w:rsid w:val="00DA5BF5"/>
    <w:rsid w:val="00DB4E18"/>
    <w:rsid w:val="00DC23ED"/>
    <w:rsid w:val="00DE31DB"/>
    <w:rsid w:val="00DE569F"/>
    <w:rsid w:val="00DE5927"/>
    <w:rsid w:val="00DF34F0"/>
    <w:rsid w:val="00DF60CC"/>
    <w:rsid w:val="00E06837"/>
    <w:rsid w:val="00E171AB"/>
    <w:rsid w:val="00E224C3"/>
    <w:rsid w:val="00E2563E"/>
    <w:rsid w:val="00E317F6"/>
    <w:rsid w:val="00E4402C"/>
    <w:rsid w:val="00E45C16"/>
    <w:rsid w:val="00E646A2"/>
    <w:rsid w:val="00E66138"/>
    <w:rsid w:val="00E668F3"/>
    <w:rsid w:val="00E72944"/>
    <w:rsid w:val="00E83BD4"/>
    <w:rsid w:val="00E917A6"/>
    <w:rsid w:val="00E97F43"/>
    <w:rsid w:val="00EB02E1"/>
    <w:rsid w:val="00EB7FD2"/>
    <w:rsid w:val="00EE1EC5"/>
    <w:rsid w:val="00EE6F5B"/>
    <w:rsid w:val="00F01F61"/>
    <w:rsid w:val="00F1597E"/>
    <w:rsid w:val="00F2150F"/>
    <w:rsid w:val="00F21B53"/>
    <w:rsid w:val="00F268A7"/>
    <w:rsid w:val="00F332BE"/>
    <w:rsid w:val="00F37422"/>
    <w:rsid w:val="00F544D7"/>
    <w:rsid w:val="00F55CD8"/>
    <w:rsid w:val="00F61036"/>
    <w:rsid w:val="00F6694E"/>
    <w:rsid w:val="00F76226"/>
    <w:rsid w:val="00F80FCD"/>
    <w:rsid w:val="00F822B1"/>
    <w:rsid w:val="00F82D3F"/>
    <w:rsid w:val="00F90203"/>
    <w:rsid w:val="00F91346"/>
    <w:rsid w:val="00FA482F"/>
    <w:rsid w:val="00FA4A09"/>
    <w:rsid w:val="00FB05BB"/>
    <w:rsid w:val="00FB7E6D"/>
    <w:rsid w:val="00FC01D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D277-EB40-48B7-B6F6-E70B887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2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0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3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39E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76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644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6C9C-7B5C-4028-AD4A-03289795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Anita Radetić</cp:lastModifiedBy>
  <cp:revision>25</cp:revision>
  <cp:lastPrinted>2020-02-13T09:31:00Z</cp:lastPrinted>
  <dcterms:created xsi:type="dcterms:W3CDTF">2023-02-12T20:54:00Z</dcterms:created>
  <dcterms:modified xsi:type="dcterms:W3CDTF">2023-02-15T13:33:00Z</dcterms:modified>
</cp:coreProperties>
</file>