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86.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prostornom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uređenju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</w:t>
      </w:r>
      <w:r w:rsidRPr="004D52FA">
        <w:rPr>
          <w:color w:val="000000"/>
        </w:rPr>
        <w:t>153/13, 65/17, 114/18, 39/19, 98/19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("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05/18,07/</w:t>
      </w:r>
      <w:proofErr w:type="gramStart"/>
      <w:r>
        <w:rPr>
          <w:color w:val="000000"/>
        </w:rPr>
        <w:t>21 )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</w:t>
      </w:r>
      <w:r w:rsidR="00F127EF">
        <w:rPr>
          <w:color w:val="000000"/>
        </w:rPr>
        <w:t xml:space="preserve">15. </w:t>
      </w:r>
      <w:proofErr w:type="spellStart"/>
      <w:r w:rsidR="00F127EF">
        <w:rPr>
          <w:color w:val="000000"/>
        </w:rPr>
        <w:t>prosinca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</w:t>
      </w:r>
      <w:r w:rsidR="00FB249E">
        <w:rPr>
          <w:color w:val="000000"/>
        </w:rPr>
        <w:t>onosi</w:t>
      </w:r>
      <w:proofErr w:type="spell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ODLUKU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o </w:t>
      </w:r>
      <w:proofErr w:type="spellStart"/>
      <w:r>
        <w:rPr>
          <w:rStyle w:val="Naglaeno"/>
          <w:color w:val="000000"/>
        </w:rPr>
        <w:t>izradi</w:t>
      </w:r>
      <w:proofErr w:type="spell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URBANISTIČKOG PLANA UREĐENJA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 xml:space="preserve">„Luka </w:t>
      </w:r>
      <w:proofErr w:type="spellStart"/>
      <w:proofErr w:type="gramStart"/>
      <w:r>
        <w:rPr>
          <w:rStyle w:val="Naglaeno"/>
          <w:color w:val="000000"/>
        </w:rPr>
        <w:t>Loznica</w:t>
      </w:r>
      <w:proofErr w:type="spellEnd"/>
      <w:r>
        <w:rPr>
          <w:rStyle w:val="Naglaeno"/>
          <w:color w:val="000000"/>
        </w:rPr>
        <w:t>“</w:t>
      </w:r>
      <w:proofErr w:type="gram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I. OPĆE ODREDBE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Donosi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„Luka </w:t>
      </w:r>
      <w:proofErr w:type="spellStart"/>
      <w:proofErr w:type="gramStart"/>
      <w:r>
        <w:rPr>
          <w:color w:val="000000"/>
        </w:rPr>
        <w:t>Loznica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daljnjem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Nositelj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Jedinstveni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odjel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2.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pravna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razlozi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obuhvat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sažetu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ocjenu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obuhvatu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ciljeve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programska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polazišta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planova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studija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utvrđuju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javnopravnih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sudionika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trebaju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sudjelovati</w:t>
      </w:r>
      <w:proofErr w:type="spellEnd"/>
      <w:r>
        <w:rPr>
          <w:color w:val="000000"/>
        </w:rPr>
        <w:t xml:space="preserve"> u 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planirani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njegovih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pripremu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ovisno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složenosti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duži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trideset</w:t>
      </w:r>
      <w:proofErr w:type="spellEnd"/>
      <w:r>
        <w:rPr>
          <w:color w:val="000000"/>
        </w:rPr>
        <w:t xml:space="preserve"> dana, </w:t>
      </w:r>
      <w:proofErr w:type="spellStart"/>
      <w:r>
        <w:rPr>
          <w:color w:val="000000"/>
        </w:rPr>
        <w:t>izvore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financiranja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odluku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drugim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značajnim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3.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II. PRAVNA OSNOVA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donosi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79</w:t>
      </w:r>
      <w:proofErr w:type="gramStart"/>
      <w:r>
        <w:rPr>
          <w:color w:val="000000"/>
        </w:rPr>
        <w:t xml:space="preserve">. </w:t>
      </w:r>
      <w:r w:rsidR="00AE0C91">
        <w:rPr>
          <w:color w:val="000000"/>
        </w:rPr>
        <w:t>,</w:t>
      </w:r>
      <w:proofErr w:type="gramEnd"/>
      <w:r w:rsidR="00AE0C91">
        <w:rPr>
          <w:color w:val="000000"/>
        </w:rPr>
        <w:t xml:space="preserve"> 80.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86.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prostornom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Općina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donijela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Odluku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donošenju</w:t>
      </w:r>
      <w:proofErr w:type="spellEnd"/>
      <w:r>
        <w:rPr>
          <w:color w:val="000000"/>
        </w:rPr>
        <w:t xml:space="preserve"> III. </w:t>
      </w:r>
      <w:proofErr w:type="spellStart"/>
      <w:r>
        <w:rPr>
          <w:color w:val="000000"/>
        </w:rPr>
        <w:t>Izmjena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– u </w:t>
      </w:r>
      <w:proofErr w:type="spellStart"/>
      <w:r>
        <w:rPr>
          <w:color w:val="000000"/>
        </w:rPr>
        <w:t>daljnjem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tekstu</w:t>
      </w:r>
      <w:proofErr w:type="spellEnd"/>
      <w:r>
        <w:rPr>
          <w:color w:val="000000"/>
        </w:rPr>
        <w:t xml:space="preserve"> PPU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 4/04, 2/07, 16/11</w:t>
      </w:r>
      <w:r w:rsidR="00AE0C91">
        <w:rPr>
          <w:color w:val="000000"/>
        </w:rPr>
        <w:t>, 16/19</w:t>
      </w:r>
      <w:r>
        <w:rPr>
          <w:color w:val="000000"/>
        </w:rPr>
        <w:t xml:space="preserve">) u </w:t>
      </w:r>
      <w:proofErr w:type="spellStart"/>
      <w:r>
        <w:rPr>
          <w:color w:val="000000"/>
        </w:rPr>
        <w:t>kojem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grafičkom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prilogu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Korištenje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površina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4.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III. RAZLOZI ZA IZRADU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Razlozi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UPU-a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sljedeći</w:t>
      </w:r>
      <w:proofErr w:type="spellEnd"/>
      <w:r>
        <w:rPr>
          <w:color w:val="000000"/>
        </w:rPr>
        <w:t xml:space="preserve"> :</w:t>
      </w:r>
      <w:proofErr w:type="gram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Urbanističkim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planirani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unaprijediti</w:t>
      </w:r>
      <w:proofErr w:type="spellEnd"/>
      <w:r>
        <w:rPr>
          <w:color w:val="000000"/>
        </w:rPr>
        <w:t xml:space="preserve">, a u </w:t>
      </w:r>
      <w:proofErr w:type="spellStart"/>
      <w:r>
        <w:rPr>
          <w:color w:val="000000"/>
        </w:rPr>
        <w:t>smislu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izgradnje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infrastukture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privođenja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istog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odredbama</w:t>
      </w:r>
      <w:proofErr w:type="spellEnd"/>
      <w:r>
        <w:rPr>
          <w:color w:val="000000"/>
        </w:rPr>
        <w:t xml:space="preserve"> PPU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Stvaranje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preduvjeta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izgradnju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funkciji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5.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osobito</w:t>
      </w:r>
      <w:proofErr w:type="spellEnd"/>
      <w:r>
        <w:rPr>
          <w:color w:val="000000"/>
        </w:rPr>
        <w:t>: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zahvata</w:t>
      </w:r>
      <w:proofErr w:type="spellEnd"/>
      <w:r>
        <w:rPr>
          <w:color w:val="000000"/>
        </w:rPr>
        <w:t>,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zone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zona </w:t>
      </w:r>
      <w:proofErr w:type="spellStart"/>
      <w:r>
        <w:rPr>
          <w:color w:val="000000"/>
        </w:rPr>
        <w:t>plaže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obje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luke</w:t>
      </w:r>
      <w:proofErr w:type="spell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izgradnja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>,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rješenje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otpadnih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oborinskih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voda</w:t>
      </w:r>
      <w:proofErr w:type="spellEnd"/>
      <w:r>
        <w:rPr>
          <w:color w:val="000000"/>
        </w:rPr>
        <w:t>,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zbrinjavanja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otpada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6.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IV. OBUHVAT IZRADE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Obuhvat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određen</w:t>
      </w:r>
      <w:proofErr w:type="spellEnd"/>
      <w:r>
        <w:rPr>
          <w:color w:val="000000"/>
        </w:rPr>
        <w:t xml:space="preserve"> je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PPU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grafičkim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dijelom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kartografski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prikaz</w:t>
      </w:r>
      <w:proofErr w:type="spellEnd"/>
      <w:r>
        <w:rPr>
          <w:color w:val="000000"/>
        </w:rPr>
        <w:t xml:space="preserve"> 1. </w:t>
      </w:r>
      <w:proofErr w:type="spellStart"/>
      <w:r w:rsidR="00AE0C91">
        <w:rPr>
          <w:color w:val="000000"/>
        </w:rPr>
        <w:t>Korištenje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i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namjena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površina</w:t>
      </w:r>
      <w:proofErr w:type="spellEnd"/>
      <w:r>
        <w:rPr>
          <w:color w:val="000000"/>
        </w:rPr>
        <w:t xml:space="preserve">, List 3a. </w:t>
      </w:r>
      <w:proofErr w:type="spellStart"/>
      <w:r>
        <w:rPr>
          <w:color w:val="000000"/>
        </w:rPr>
        <w:t>Uvjeti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korištenje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List 4.a - </w:t>
      </w:r>
      <w:proofErr w:type="spellStart"/>
      <w:r>
        <w:rPr>
          <w:color w:val="000000"/>
        </w:rPr>
        <w:t>Građevinska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Unutar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cijela</w:t>
      </w:r>
      <w:proofErr w:type="spellEnd"/>
      <w:r>
        <w:rPr>
          <w:color w:val="000000"/>
        </w:rPr>
        <w:t xml:space="preserve"> zona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Loznica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cijela</w:t>
      </w:r>
      <w:proofErr w:type="spellEnd"/>
      <w:r>
        <w:rPr>
          <w:color w:val="000000"/>
        </w:rPr>
        <w:t xml:space="preserve"> zona </w:t>
      </w:r>
      <w:proofErr w:type="spellStart"/>
      <w:r>
        <w:rPr>
          <w:color w:val="000000"/>
        </w:rPr>
        <w:t>plaže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jugoistočno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zone </w:t>
      </w:r>
      <w:proofErr w:type="spellStart"/>
      <w:r>
        <w:rPr>
          <w:color w:val="000000"/>
        </w:rPr>
        <w:t>plaže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sjeverozapadno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 xml:space="preserve">. Zone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utvrđene</w:t>
      </w:r>
      <w:proofErr w:type="spellEnd"/>
      <w:r>
        <w:rPr>
          <w:color w:val="000000"/>
        </w:rPr>
        <w:t xml:space="preserve"> PPU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Površina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iznosi</w:t>
      </w:r>
      <w:proofErr w:type="spellEnd"/>
      <w:r>
        <w:rPr>
          <w:color w:val="000000"/>
        </w:rPr>
        <w:t xml:space="preserve">  8,94 ha.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7.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V. OCJENA STANJA U OBUHVATU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Ocjenjuje</w:t>
      </w:r>
      <w:proofErr w:type="spellEnd"/>
      <w:r>
        <w:rPr>
          <w:color w:val="000000"/>
        </w:rPr>
        <w:t xml:space="preserve"> se da u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nisu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zadovoljene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naselja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pa se </w:t>
      </w:r>
      <w:proofErr w:type="spellStart"/>
      <w:r>
        <w:rPr>
          <w:color w:val="000000"/>
        </w:rPr>
        <w:t>ovim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planiraju</w:t>
      </w:r>
      <w:proofErr w:type="spellEnd"/>
      <w:r>
        <w:rPr>
          <w:color w:val="000000"/>
        </w:rPr>
        <w:t xml:space="preserve"> gore </w:t>
      </w:r>
      <w:proofErr w:type="spellStart"/>
      <w:r>
        <w:rPr>
          <w:color w:val="000000"/>
        </w:rPr>
        <w:t>spomenuti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urbanom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smislu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vizualna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zadovoljavajuća</w:t>
      </w:r>
      <w:proofErr w:type="spellEnd"/>
      <w:r>
        <w:rPr>
          <w:color w:val="000000"/>
        </w:rPr>
        <w:t xml:space="preserve">). U </w:t>
      </w:r>
      <w:proofErr w:type="spellStart"/>
      <w:r>
        <w:rPr>
          <w:color w:val="000000"/>
        </w:rPr>
        <w:t>granicama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nema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obala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mulovi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privezišta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sl.).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8.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VI. CILJEVI I PROGRAMSKA POLAZIŠTA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Cilj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urbaniziranje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obuhvaćenog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izgradnjom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objekti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funkciji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plaža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izgradnja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infrastrukture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Spomenutom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izgradnjom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obuhvaćeni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kvalitetno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racionalno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koristiti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postojećeg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VII. POPIS SEKTORSKIH STRATEGIJA, PLANOVA, STUDIJA I DRUGIH DOKUMENATA PROPISANIH POSEBNIM ZAKONIMA KOJIMA, ODNOSNO U SKLADU S KOJIMA SE UTVRĐUJU ZAHTJEVI ZA IZRADU URBANISTIČKOG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potrebne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slijedeće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podloge</w:t>
      </w:r>
      <w:proofErr w:type="spellEnd"/>
      <w:r>
        <w:rPr>
          <w:color w:val="000000"/>
        </w:rPr>
        <w:t>: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 PPU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 4/04, 2/07, 16/11</w:t>
      </w:r>
      <w:r w:rsidR="00AE0C91">
        <w:rPr>
          <w:color w:val="000000"/>
        </w:rPr>
        <w:t>, 16/19</w:t>
      </w:r>
      <w:r>
        <w:rPr>
          <w:color w:val="000000"/>
        </w:rPr>
        <w:t>)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Katastarsko-geodetski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katastarsko-topografske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mj</w:t>
      </w:r>
      <w:proofErr w:type="spellEnd"/>
      <w:r>
        <w:rPr>
          <w:color w:val="000000"/>
        </w:rPr>
        <w:t xml:space="preserve">. 1:1000 </w:t>
      </w:r>
      <w:proofErr w:type="spellStart"/>
      <w:r>
        <w:rPr>
          <w:color w:val="000000"/>
        </w:rPr>
        <w:t>izrađene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potrebe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9.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VIII. NAČIN PRIBAVLJANJA STRUČNIH RJEŠENJA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Stručne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podloge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prethodnom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osigurat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Naručitelj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Stručna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izrađivač</w:t>
      </w:r>
      <w:proofErr w:type="spellEnd"/>
      <w:r>
        <w:rPr>
          <w:color w:val="000000"/>
        </w:rPr>
        <w:t xml:space="preserve"> Plana.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10.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IX. POPIS JAVNOPRAVNIH TIJELA ODREĐENIH POSEBNIM PROPISIMA KOJA DAJU ZAHTJEVE ZA IZRADU URBANISTIČKOG PLANA TE DRUGIH SUDIONIKA KORISNIKA PROSTORA KOJI TREBAJU SUDJELOVATI U IZRADI URBANISTIČKOG PLANA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sudjelovati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djelokruga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članku</w:t>
      </w:r>
      <w:proofErr w:type="spellEnd"/>
      <w:r>
        <w:rPr>
          <w:color w:val="000000"/>
        </w:rPr>
        <w:t xml:space="preserve"> 90.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>: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 HEP </w:t>
      </w:r>
      <w:proofErr w:type="spellStart"/>
      <w:r>
        <w:rPr>
          <w:color w:val="000000"/>
        </w:rPr>
        <w:t>d.d</w:t>
      </w:r>
      <w:proofErr w:type="spellEnd"/>
      <w:r>
        <w:rPr>
          <w:color w:val="000000"/>
        </w:rPr>
        <w:t xml:space="preserve">. Elektra Zadar, </w:t>
      </w:r>
      <w:proofErr w:type="spellStart"/>
      <w:r>
        <w:rPr>
          <w:color w:val="000000"/>
        </w:rPr>
        <w:t>Kralja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Dmitra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Zvonimira</w:t>
      </w:r>
      <w:proofErr w:type="spellEnd"/>
      <w:r>
        <w:rPr>
          <w:color w:val="000000"/>
        </w:rPr>
        <w:t xml:space="preserve"> 8,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Vodovod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 xml:space="preserve">., </w:t>
      </w:r>
      <w:proofErr w:type="spellStart"/>
      <w:r w:rsidR="00AE0C91">
        <w:rPr>
          <w:color w:val="000000"/>
        </w:rPr>
        <w:t>Špire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Brusine</w:t>
      </w:r>
      <w:proofErr w:type="spellEnd"/>
      <w:r w:rsidR="00AE0C91">
        <w:rPr>
          <w:color w:val="000000"/>
        </w:rPr>
        <w:t xml:space="preserve"> 17, </w:t>
      </w:r>
      <w:r>
        <w:rPr>
          <w:color w:val="000000"/>
        </w:rPr>
        <w:t>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Ministarstvo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baštine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Konzervatorski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odjel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Zadru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Smiljanića</w:t>
      </w:r>
      <w:proofErr w:type="spellEnd"/>
      <w:r>
        <w:rPr>
          <w:color w:val="000000"/>
        </w:rPr>
        <w:t xml:space="preserve"> 3,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Ministarstvo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baštine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Runja</w:t>
      </w:r>
      <w:r w:rsidR="00AE0C91">
        <w:rPr>
          <w:color w:val="000000"/>
        </w:rPr>
        <w:t>ni</w:t>
      </w:r>
      <w:r>
        <w:rPr>
          <w:color w:val="000000"/>
        </w:rPr>
        <w:t>nova</w:t>
      </w:r>
      <w:proofErr w:type="spellEnd"/>
      <w:r>
        <w:rPr>
          <w:color w:val="000000"/>
        </w:rPr>
        <w:t xml:space="preserve"> 2, 10000 Zagreb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Ministarstvo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unutarnjih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, PU </w:t>
      </w:r>
      <w:proofErr w:type="spellStart"/>
      <w:r>
        <w:rPr>
          <w:color w:val="000000"/>
        </w:rPr>
        <w:t>Zadarska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Odjel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požara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civilne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zaštite</w:t>
      </w:r>
      <w:proofErr w:type="spellEnd"/>
      <w:r>
        <w:rPr>
          <w:color w:val="000000"/>
        </w:rPr>
        <w:t xml:space="preserve">, </w:t>
      </w:r>
      <w:proofErr w:type="spellStart"/>
      <w:r w:rsidR="00AE0C91">
        <w:rPr>
          <w:color w:val="000000"/>
        </w:rPr>
        <w:t>Ulica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Bana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Josipa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Jelačića</w:t>
      </w:r>
      <w:proofErr w:type="spellEnd"/>
      <w:r w:rsidR="00AE0C91">
        <w:rPr>
          <w:color w:val="000000"/>
        </w:rPr>
        <w:t xml:space="preserve"> 30</w:t>
      </w:r>
      <w:r>
        <w:rPr>
          <w:color w:val="000000"/>
        </w:rPr>
        <w:t>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Hrvatske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vode</w:t>
      </w:r>
      <w:proofErr w:type="spellEnd"/>
      <w:r>
        <w:rPr>
          <w:color w:val="000000"/>
        </w:rPr>
        <w:t xml:space="preserve">, VGI Zadar, R. </w:t>
      </w:r>
      <w:proofErr w:type="spellStart"/>
      <w:r>
        <w:rPr>
          <w:color w:val="000000"/>
        </w:rPr>
        <w:t>Katalinića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Jeretova</w:t>
      </w:r>
      <w:proofErr w:type="spellEnd"/>
      <w:r>
        <w:rPr>
          <w:color w:val="000000"/>
        </w:rPr>
        <w:t xml:space="preserve"> 5,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Zavod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, </w:t>
      </w:r>
      <w:proofErr w:type="spellStart"/>
      <w:r w:rsidR="00AE0C91">
        <w:rPr>
          <w:color w:val="000000"/>
        </w:rPr>
        <w:t>Braće</w:t>
      </w:r>
      <w:proofErr w:type="spellEnd"/>
      <w:r w:rsidR="00AE0C91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Vranjana</w:t>
      </w:r>
      <w:proofErr w:type="spellEnd"/>
      <w:r w:rsidR="00AE0C91">
        <w:rPr>
          <w:color w:val="000000"/>
        </w:rPr>
        <w:t xml:space="preserve"> 11, </w:t>
      </w:r>
      <w:r>
        <w:rPr>
          <w:color w:val="000000"/>
        </w:rPr>
        <w:t>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8. HAKOM Zagreb</w:t>
      </w:r>
      <w:r w:rsidR="00AE0C91">
        <w:rPr>
          <w:color w:val="000000"/>
        </w:rPr>
        <w:t xml:space="preserve">, </w:t>
      </w:r>
      <w:proofErr w:type="spellStart"/>
      <w:r w:rsidR="00AE0C91" w:rsidRPr="00AE0C91">
        <w:rPr>
          <w:color w:val="000000"/>
        </w:rPr>
        <w:t>Ulica</w:t>
      </w:r>
      <w:proofErr w:type="spellEnd"/>
      <w:r w:rsidR="00AE0C91" w:rsidRPr="00AE0C91">
        <w:rPr>
          <w:color w:val="000000"/>
        </w:rPr>
        <w:t xml:space="preserve"> Roberta </w:t>
      </w:r>
      <w:proofErr w:type="spellStart"/>
      <w:r w:rsidR="00AE0C91" w:rsidRPr="00AE0C91">
        <w:rPr>
          <w:color w:val="000000"/>
        </w:rPr>
        <w:t>Frangeša</w:t>
      </w:r>
      <w:proofErr w:type="spellEnd"/>
      <w:r w:rsidR="00AE0C91" w:rsidRPr="00AE0C91">
        <w:rPr>
          <w:color w:val="000000"/>
        </w:rPr>
        <w:t xml:space="preserve"> </w:t>
      </w:r>
      <w:proofErr w:type="spellStart"/>
      <w:r w:rsidR="00AE0C91" w:rsidRPr="00AE0C91">
        <w:rPr>
          <w:color w:val="000000"/>
        </w:rPr>
        <w:t>Mihanovića</w:t>
      </w:r>
      <w:proofErr w:type="spellEnd"/>
      <w:r w:rsidR="00AE0C91" w:rsidRPr="00AE0C91">
        <w:rPr>
          <w:color w:val="000000"/>
        </w:rPr>
        <w:t xml:space="preserve"> 9</w:t>
      </w:r>
      <w:r w:rsidR="00AE0C91">
        <w:rPr>
          <w:color w:val="000000"/>
        </w:rPr>
        <w:t>, 10110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Vodovod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>.</w:t>
      </w:r>
      <w:r w:rsidR="00AE0C91">
        <w:rPr>
          <w:color w:val="000000"/>
        </w:rPr>
        <w:t xml:space="preserve">, </w:t>
      </w:r>
      <w:r w:rsidR="00203845">
        <w:rPr>
          <w:color w:val="000000"/>
        </w:rPr>
        <w:t xml:space="preserve">Put </w:t>
      </w:r>
      <w:proofErr w:type="spellStart"/>
      <w:r w:rsidR="00203845">
        <w:rPr>
          <w:color w:val="000000"/>
        </w:rPr>
        <w:t>mula</w:t>
      </w:r>
      <w:proofErr w:type="spellEnd"/>
      <w:r w:rsidR="00203845">
        <w:rPr>
          <w:color w:val="000000"/>
        </w:rPr>
        <w:t xml:space="preserve"> 16</w:t>
      </w:r>
      <w:r w:rsidR="00AE0C91">
        <w:rPr>
          <w:color w:val="000000"/>
        </w:rPr>
        <w:t>, 23234</w:t>
      </w:r>
      <w:r w:rsidR="00203845">
        <w:rPr>
          <w:color w:val="000000"/>
        </w:rPr>
        <w:t xml:space="preserve"> </w:t>
      </w:r>
      <w:proofErr w:type="spellStart"/>
      <w:r w:rsidR="00AE0C91">
        <w:rPr>
          <w:color w:val="000000"/>
        </w:rPr>
        <w:t>Vir</w:t>
      </w:r>
      <w:proofErr w:type="spell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Županijska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lučka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uprava</w:t>
      </w:r>
      <w:proofErr w:type="spellEnd"/>
      <w:r>
        <w:rPr>
          <w:color w:val="000000"/>
        </w:rPr>
        <w:t xml:space="preserve"> Zadar, </w:t>
      </w:r>
      <w:proofErr w:type="spellStart"/>
      <w:r w:rsidR="00203845">
        <w:rPr>
          <w:color w:val="000000"/>
        </w:rPr>
        <w:t>Franka</w:t>
      </w:r>
      <w:proofErr w:type="spellEnd"/>
      <w:r w:rsidR="00203845">
        <w:rPr>
          <w:color w:val="000000"/>
        </w:rPr>
        <w:t xml:space="preserve"> </w:t>
      </w:r>
      <w:proofErr w:type="spellStart"/>
      <w:r w:rsidR="00203845">
        <w:rPr>
          <w:color w:val="000000"/>
        </w:rPr>
        <w:t>Lisice</w:t>
      </w:r>
      <w:proofErr w:type="spellEnd"/>
      <w:r w:rsidR="00203845">
        <w:rPr>
          <w:color w:val="000000"/>
        </w:rPr>
        <w:t xml:space="preserve"> 77</w:t>
      </w:r>
      <w:r>
        <w:rPr>
          <w:color w:val="000000"/>
        </w:rPr>
        <w:t>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11.</w:t>
      </w:r>
      <w:r w:rsidR="00203845" w:rsidRPr="00203845">
        <w:rPr>
          <w:color w:val="000000"/>
        </w:rPr>
        <w:t xml:space="preserve"> </w:t>
      </w:r>
      <w:proofErr w:type="spellStart"/>
      <w:r w:rsidR="00203845" w:rsidRPr="00203845">
        <w:rPr>
          <w:color w:val="000000"/>
        </w:rPr>
        <w:t>Zadarska</w:t>
      </w:r>
      <w:proofErr w:type="spellEnd"/>
      <w:r w:rsidR="00203845" w:rsidRPr="00203845">
        <w:rPr>
          <w:color w:val="000000"/>
        </w:rPr>
        <w:t xml:space="preserve"> </w:t>
      </w:r>
      <w:proofErr w:type="spellStart"/>
      <w:r w:rsidR="00203845" w:rsidRPr="00203845">
        <w:rPr>
          <w:color w:val="000000"/>
        </w:rPr>
        <w:t>Županija</w:t>
      </w:r>
      <w:proofErr w:type="spellEnd"/>
      <w:r w:rsidR="00203845" w:rsidRPr="00203845">
        <w:rPr>
          <w:color w:val="000000"/>
        </w:rPr>
        <w:t>,</w:t>
      </w:r>
      <w:r w:rsidR="00203845">
        <w:rPr>
          <w:color w:val="000000"/>
        </w:rPr>
        <w:t xml:space="preserve"> </w:t>
      </w:r>
      <w:proofErr w:type="spellStart"/>
      <w:r>
        <w:rPr>
          <w:color w:val="000000"/>
        </w:rPr>
        <w:t>Upravni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odjel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okoliša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poslove</w:t>
      </w:r>
      <w:proofErr w:type="spellEnd"/>
      <w:r w:rsidR="00203845">
        <w:rPr>
          <w:color w:val="000000"/>
        </w:rPr>
        <w:t>,</w:t>
      </w:r>
      <w:r>
        <w:rPr>
          <w:color w:val="000000"/>
        </w:rPr>
        <w:t xml:space="preserve"> B. </w:t>
      </w:r>
      <w:proofErr w:type="spellStart"/>
      <w:r>
        <w:rPr>
          <w:color w:val="000000"/>
        </w:rPr>
        <w:t>Petranovića</w:t>
      </w:r>
      <w:proofErr w:type="spellEnd"/>
      <w:r>
        <w:rPr>
          <w:color w:val="000000"/>
        </w:rPr>
        <w:t xml:space="preserve"> 8, 23000 Zadar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ukaže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11.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X. PLANIRANI ROK ZA IZRADU URBANISTIČKOG PLANA, ODNOSNO NJEGOVIH POJEDINIH FAZA I ROK ZA PRIPREMU ZAHTJEVA ZA IZRADU URBANISTIČKOG PLANA TIJELA I OSOBA ODREĐENIH POSEBNIM PROPISIMA, AKO JE TAJ ROK, OVISNO O SLOŽENOSTI POJEDINOG PODRUČJA, DUŽI OD TRIDESET DANA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fazama</w:t>
      </w:r>
      <w:proofErr w:type="spellEnd"/>
      <w:r>
        <w:rPr>
          <w:color w:val="000000"/>
        </w:rPr>
        <w:t>: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Izrada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prijedloga</w:t>
      </w:r>
      <w:proofErr w:type="spellEnd"/>
      <w:r>
        <w:rPr>
          <w:color w:val="000000"/>
        </w:rPr>
        <w:t xml:space="preserve"> Plana: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od 60 dana od dana </w:t>
      </w:r>
      <w:proofErr w:type="spellStart"/>
      <w:r>
        <w:rPr>
          <w:color w:val="000000"/>
        </w:rPr>
        <w:t>potpisivanja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ugovora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izrađivačem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valjane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geodetske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podloge</w:t>
      </w:r>
      <w:proofErr w:type="spellEnd"/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Početak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 xml:space="preserve">: 20 dana od </w:t>
      </w:r>
      <w:proofErr w:type="spellStart"/>
      <w:r>
        <w:rPr>
          <w:color w:val="000000"/>
        </w:rPr>
        <w:t>utvrđenog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prijedloga</w:t>
      </w:r>
      <w:proofErr w:type="spellEnd"/>
      <w:r>
        <w:rPr>
          <w:color w:val="000000"/>
        </w:rPr>
        <w:t xml:space="preserve"> Plana,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Izvješće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javnoj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prijedloga</w:t>
      </w:r>
      <w:proofErr w:type="spellEnd"/>
      <w:r>
        <w:rPr>
          <w:color w:val="000000"/>
        </w:rPr>
        <w:t xml:space="preserve">: 10 dana od </w:t>
      </w:r>
      <w:proofErr w:type="spellStart"/>
      <w:r>
        <w:rPr>
          <w:color w:val="000000"/>
        </w:rPr>
        <w:t>okončanja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>,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Donošenje</w:t>
      </w:r>
      <w:proofErr w:type="spellEnd"/>
      <w:r>
        <w:rPr>
          <w:color w:val="000000"/>
        </w:rPr>
        <w:t xml:space="preserve"> Plana: 30 dana od </w:t>
      </w:r>
      <w:proofErr w:type="spellStart"/>
      <w:r>
        <w:rPr>
          <w:color w:val="000000"/>
        </w:rPr>
        <w:t>zaprimanja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suglasnosti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rok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ulazi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verifikaciju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Naručitelja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izvješća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javnoj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ishođenje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potrebnih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suglasnosti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mišljenja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očitovanja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12.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XI. IZVORI FINANCIRANJA IZRADE UPU-a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Financiranje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osigurat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Proračuna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13.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color w:val="000000"/>
        </w:rPr>
        <w:t>XII. PRIJELAZNE I ZAVRŠNE ODREDBE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Nositelj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primjerak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 w:rsidR="0020384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navedenim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članku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upućuje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poziv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podaci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smjernice</w:t>
      </w:r>
      <w:proofErr w:type="spellEnd"/>
      <w:r>
        <w:rPr>
          <w:color w:val="000000"/>
        </w:rPr>
        <w:t xml:space="preserve"> </w:t>
      </w:r>
      <w:proofErr w:type="spellStart"/>
      <w:r w:rsidR="0020384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>
        <w:rPr>
          <w:color w:val="000000"/>
        </w:rPr>
        <w:t xml:space="preserve"> Plana.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Ukoliko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posebnim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dostave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smatrati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da </w:t>
      </w:r>
      <w:proofErr w:type="spellStart"/>
      <w:r>
        <w:rPr>
          <w:color w:val="000000"/>
        </w:rPr>
        <w:t>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nemaju</w:t>
      </w:r>
      <w:proofErr w:type="spellEnd"/>
      <w:r>
        <w:rPr>
          <w:color w:val="000000"/>
        </w:rPr>
        <w:t xml:space="preserve">. U tom </w:t>
      </w:r>
      <w:proofErr w:type="spellStart"/>
      <w:r>
        <w:rPr>
          <w:color w:val="000000"/>
        </w:rPr>
        <w:t>slučaju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moraju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izradi</w:t>
      </w:r>
      <w:proofErr w:type="spellEnd"/>
      <w:r>
        <w:rPr>
          <w:color w:val="000000"/>
        </w:rPr>
        <w:t xml:space="preserve"> </w:t>
      </w:r>
      <w:proofErr w:type="spellStart"/>
      <w:r w:rsidR="00203845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donošenju</w:t>
      </w:r>
      <w:proofErr w:type="spellEnd"/>
      <w:r>
        <w:rPr>
          <w:color w:val="000000"/>
        </w:rPr>
        <w:t xml:space="preserve"> Plana </w:t>
      </w:r>
      <w:proofErr w:type="spellStart"/>
      <w:r>
        <w:rPr>
          <w:color w:val="000000"/>
        </w:rPr>
        <w:t>poštivati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određuju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odgovarajući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primjerak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od 15 dana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njezinoj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objavi</w:t>
      </w:r>
      <w:proofErr w:type="spellEnd"/>
      <w:r>
        <w:rPr>
          <w:color w:val="000000"/>
        </w:rPr>
        <w:t xml:space="preserve"> u „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dostavlja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Ministarstvu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graditeljstva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uređenja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inspekcijske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Urbanističkoj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inspekciji</w:t>
      </w:r>
      <w:proofErr w:type="spellEnd"/>
      <w:r>
        <w:rPr>
          <w:color w:val="000000"/>
        </w:rPr>
        <w:t>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14.</w:t>
      </w:r>
    </w:p>
    <w:p w:rsid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Stupanjem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snagu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Odluke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prestaje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važiti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Odluka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izradi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Urbanističkog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plana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uređenja</w:t>
      </w:r>
      <w:proofErr w:type="spellEnd"/>
      <w:r>
        <w:rPr>
          <w:color w:val="000000"/>
          <w:shd w:val="clear" w:color="auto" w:fill="FFFFFF"/>
        </w:rPr>
        <w:t xml:space="preserve"> “Luka </w:t>
      </w:r>
      <w:proofErr w:type="spellStart"/>
      <w:r>
        <w:rPr>
          <w:color w:val="000000"/>
          <w:shd w:val="clear" w:color="auto" w:fill="FFFFFF"/>
        </w:rPr>
        <w:t>Loznica</w:t>
      </w:r>
      <w:proofErr w:type="spellEnd"/>
      <w:r>
        <w:rPr>
          <w:color w:val="000000"/>
          <w:shd w:val="clear" w:color="auto" w:fill="FFFFFF"/>
        </w:rPr>
        <w:t>” („</w:t>
      </w:r>
      <w:proofErr w:type="spellStart"/>
      <w:r>
        <w:rPr>
          <w:color w:val="000000"/>
          <w:shd w:val="clear" w:color="auto" w:fill="FFFFFF"/>
        </w:rPr>
        <w:t>Službeni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glasnik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Zadarske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županije</w:t>
      </w:r>
      <w:proofErr w:type="spellEnd"/>
      <w:r>
        <w:rPr>
          <w:color w:val="000000"/>
          <w:shd w:val="clear" w:color="auto" w:fill="FFFFFF"/>
        </w:rPr>
        <w:t xml:space="preserve">” </w:t>
      </w:r>
      <w:proofErr w:type="spellStart"/>
      <w:r>
        <w:rPr>
          <w:color w:val="000000"/>
          <w:shd w:val="clear" w:color="auto" w:fill="FFFFFF"/>
        </w:rPr>
        <w:t>broj</w:t>
      </w:r>
      <w:proofErr w:type="spellEnd"/>
      <w:r>
        <w:rPr>
          <w:color w:val="000000"/>
          <w:shd w:val="clear" w:color="auto" w:fill="FFFFFF"/>
        </w:rPr>
        <w:t xml:space="preserve"> 10/19).</w:t>
      </w:r>
    </w:p>
    <w:p w:rsidR="004D52FA" w:rsidRPr="004D52FA" w:rsidRDefault="004D52FA" w:rsidP="004D52FA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spellStart"/>
      <w:r>
        <w:rPr>
          <w:rStyle w:val="Naglaeno"/>
          <w:color w:val="000000"/>
        </w:rPr>
        <w:t>Članak</w:t>
      </w:r>
      <w:proofErr w:type="spellEnd"/>
      <w:r>
        <w:rPr>
          <w:rStyle w:val="Naglaeno"/>
          <w:color w:val="000000"/>
        </w:rPr>
        <w:t xml:space="preserve"> 15.</w:t>
      </w:r>
    </w:p>
    <w:p w:rsidR="004D52FA" w:rsidRDefault="004D52FA" w:rsidP="00B50F3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„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>“.</w:t>
      </w:r>
    </w:p>
    <w:p w:rsidR="004D52FA" w:rsidRDefault="004D52FA" w:rsidP="00B50F3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4D52FA" w:rsidRDefault="004D52FA" w:rsidP="00B50F3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4D52FA" w:rsidRDefault="004D52FA" w:rsidP="00B50F32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4D52FA" w:rsidRDefault="00B50F32" w:rsidP="00B50F3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350-03/21-01/01</w:t>
      </w:r>
    </w:p>
    <w:p w:rsidR="00B50F32" w:rsidRDefault="00B50F32" w:rsidP="00B50F32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2198/28-0</w:t>
      </w:r>
      <w:r w:rsidR="00C172F1">
        <w:rPr>
          <w:color w:val="000000"/>
        </w:rPr>
        <w:t>1</w:t>
      </w:r>
      <w:r>
        <w:rPr>
          <w:color w:val="000000"/>
        </w:rPr>
        <w:t>-21-</w:t>
      </w:r>
      <w:r w:rsidR="00C172F1">
        <w:rPr>
          <w:color w:val="000000"/>
        </w:rPr>
        <w:t>3</w:t>
      </w:r>
    </w:p>
    <w:p w:rsidR="00B11D35" w:rsidRDefault="00B11D35"/>
    <w:p w:rsidR="00B11D35" w:rsidRDefault="00B11D35">
      <w:bookmarkStart w:id="0" w:name="_GoBack"/>
      <w:bookmarkEnd w:id="0"/>
    </w:p>
    <w:sectPr w:rsidR="00B11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A"/>
    <w:rsid w:val="000548C4"/>
    <w:rsid w:val="000C3F8C"/>
    <w:rsid w:val="00203845"/>
    <w:rsid w:val="004D52FA"/>
    <w:rsid w:val="00981C2C"/>
    <w:rsid w:val="00A61BEC"/>
    <w:rsid w:val="00AE0C91"/>
    <w:rsid w:val="00AE7E6F"/>
    <w:rsid w:val="00B11D35"/>
    <w:rsid w:val="00B50F32"/>
    <w:rsid w:val="00C172F1"/>
    <w:rsid w:val="00F127EF"/>
    <w:rsid w:val="00FB249E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89D1"/>
  <w15:chartTrackingRefBased/>
  <w15:docId w15:val="{F26415DE-C93F-4D50-8172-253469F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D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4D5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2021-12-16T07:41:00Z</dcterms:created>
  <dcterms:modified xsi:type="dcterms:W3CDTF">2021-12-16T07:41:00Z</dcterms:modified>
</cp:coreProperties>
</file>